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lang w:eastAsia="zh-CN"/>
        </w:rPr>
        <w:t>重庆第二师范学院</w:t>
      </w:r>
      <w:r>
        <w:rPr>
          <w:rFonts w:hint="eastAsia" w:ascii="华文中宋" w:hAnsi="华文中宋" w:eastAsia="华文中宋" w:cs="华文中宋"/>
          <w:sz w:val="36"/>
          <w:szCs w:val="36"/>
        </w:rPr>
        <w:t>2019年部门预算情况说明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numPr>
          <w:ilvl w:val="0"/>
          <w:numId w:val="2"/>
        </w:num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基本</w:t>
      </w:r>
      <w:r>
        <w:rPr>
          <w:rFonts w:hint="eastAsia" w:ascii="仿宋_GB2312" w:hAnsi="仿宋_GB2312" w:eastAsia="仿宋_GB2312" w:cs="仿宋_GB2312"/>
          <w:sz w:val="32"/>
        </w:rPr>
        <w:t>职责。</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重庆第二师范学院是一所以文为主的多科性地方普通本科师范院校，学校始建于</w:t>
      </w:r>
      <w:r>
        <w:rPr>
          <w:rFonts w:ascii="仿宋_GB2312" w:hAnsi="仿宋_GB2312" w:eastAsia="仿宋_GB2312" w:cs="仿宋_GB2312"/>
          <w:sz w:val="32"/>
        </w:rPr>
        <w:t>1954</w:t>
      </w:r>
      <w:r>
        <w:rPr>
          <w:rFonts w:hint="eastAsia" w:ascii="仿宋_GB2312" w:hAnsi="仿宋_GB2312" w:eastAsia="仿宋_GB2312" w:cs="仿宋_GB2312"/>
          <w:sz w:val="32"/>
        </w:rPr>
        <w:t>年，具有悠久的办学历史和鲜明的办学特色，是重庆市中小学教师和教育管理干部培养培训的主要基地之一，也是首批</w:t>
      </w:r>
      <w:r>
        <w:rPr>
          <w:rFonts w:ascii="仿宋_GB2312" w:hAnsi="仿宋_GB2312" w:eastAsia="仿宋_GB2312" w:cs="仿宋_GB2312"/>
          <w:sz w:val="32"/>
        </w:rPr>
        <w:t>“</w:t>
      </w:r>
      <w:r>
        <w:rPr>
          <w:rFonts w:hint="eastAsia" w:ascii="仿宋_GB2312" w:hAnsi="仿宋_GB2312" w:eastAsia="仿宋_GB2312" w:cs="仿宋_GB2312"/>
          <w:sz w:val="32"/>
        </w:rPr>
        <w:t>重庆市服务外包人才培训基地</w:t>
      </w:r>
      <w:r>
        <w:rPr>
          <w:rFonts w:ascii="仿宋_GB2312" w:hAnsi="仿宋_GB2312" w:eastAsia="仿宋_GB2312" w:cs="仿宋_GB2312"/>
          <w:sz w:val="32"/>
        </w:rPr>
        <w:t>”</w:t>
      </w:r>
      <w:r>
        <w:rPr>
          <w:rFonts w:hint="eastAsia" w:ascii="仿宋_GB2312" w:hAnsi="仿宋_GB2312" w:eastAsia="仿宋_GB2312" w:cs="仿宋_GB2312"/>
          <w:sz w:val="32"/>
        </w:rPr>
        <w:t>之一。</w:t>
      </w:r>
    </w:p>
    <w:p>
      <w:pPr>
        <w:numPr>
          <w:ilvl w:val="0"/>
          <w:numId w:val="2"/>
        </w:numPr>
        <w:ind w:left="0" w:leftChars="0"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单位</w:t>
      </w:r>
      <w:r>
        <w:rPr>
          <w:rFonts w:ascii="仿宋_GB2312" w:hAnsi="仿宋_GB2312" w:eastAsia="仿宋_GB2312" w:cs="仿宋_GB2312"/>
          <w:sz w:val="32"/>
        </w:rPr>
        <w:t>构成</w:t>
      </w:r>
      <w:r>
        <w:rPr>
          <w:rFonts w:hint="eastAsia" w:ascii="仿宋_GB2312" w:hAnsi="仿宋_GB2312" w:eastAsia="仿宋_GB2312" w:cs="仿宋_GB2312"/>
          <w:sz w:val="32"/>
        </w:rPr>
        <w:t>。</w:t>
      </w:r>
    </w:p>
    <w:p>
      <w:pPr>
        <w:pStyle w:val="2"/>
        <w:keepNext w:val="0"/>
        <w:keepLines w:val="0"/>
        <w:widowControl/>
        <w:suppressLineNumbers w:val="0"/>
        <w:spacing w:before="0" w:beforeAutospacing="0" w:after="0" w:afterAutospacing="0"/>
        <w:ind w:left="0" w:right="0" w:firstLine="420"/>
        <w:jc w:val="both"/>
      </w:pPr>
      <w:r>
        <w:rPr>
          <w:rFonts w:hint="eastAsia" w:ascii="仿宋_GB2312" w:hAnsi="仿宋_GB2312" w:eastAsia="仿宋_GB2312" w:cs="仿宋_GB2312"/>
          <w:sz w:val="32"/>
        </w:rPr>
        <w:t>重庆第二师范学院</w:t>
      </w:r>
      <w:r>
        <w:rPr>
          <w:rFonts w:hint="eastAsia" w:ascii="仿宋_GB2312" w:hAnsi="仿宋_GB2312" w:eastAsia="仿宋_GB2312" w:cs="仿宋_GB2312"/>
          <w:sz w:val="32"/>
          <w:lang w:eastAsia="zh-CN"/>
        </w:rPr>
        <w:t>是</w:t>
      </w:r>
      <w:r>
        <w:rPr>
          <w:rFonts w:hint="eastAsia" w:ascii="仿宋_GB2312" w:hAnsi="仿宋_GB2312" w:eastAsia="仿宋_GB2312" w:cs="仿宋_GB2312"/>
          <w:sz w:val="32"/>
        </w:rPr>
        <w:t>由重庆市教委主管的公办普通本科大学，学校现有南山、学府大道两个校区，占地面积</w:t>
      </w:r>
      <w:r>
        <w:rPr>
          <w:rFonts w:hint="eastAsia" w:ascii="仿宋_GB2312" w:hAnsi="仿宋_GB2312" w:eastAsia="仿宋_GB2312" w:cs="仿宋_GB2312"/>
          <w:sz w:val="32"/>
          <w:lang w:val="en-US" w:eastAsia="zh-CN"/>
        </w:rPr>
        <w:t>74.23万平方米</w:t>
      </w:r>
      <w:r>
        <w:rPr>
          <w:rFonts w:hint="eastAsia" w:ascii="仿宋_GB2312" w:hAnsi="仿宋_GB2312" w:eastAsia="仿宋_GB2312" w:cs="仿宋_GB2312"/>
          <w:sz w:val="32"/>
        </w:rPr>
        <w:t>。学校始终坚持以服务重庆经济社会发展为己任，大力实施转型发展战略，做精做优师范教育、做特做强非师范教育，积极培育“服务0~12岁儿童成长”的办学特色，努力促进师范与非师范教育融合发展，形成了面向基础教育和重庆市战略新兴服务业的发展定位。获批国家发改委等三部委联合实施的 “‘十三五’产教融合发展工程规划项目” 百所应用型本科高校之一、教育部“云数融合 科教创新”项目首批试点院校、全国应用技术大学联盟成员单位和重庆市首批转型试点高校，与教育部规建中心合作共建全国首家儿童研究院，是全国大学生文化素质教育基地、重庆市教师教育创新实验区和重庆市中小学教师发展中心。</w:t>
      </w:r>
    </w:p>
    <w:p>
      <w:pPr>
        <w:pStyle w:val="2"/>
        <w:keepNext w:val="0"/>
        <w:keepLines w:val="0"/>
        <w:widowControl/>
        <w:suppressLineNumbers w:val="0"/>
        <w:spacing w:before="0" w:beforeAutospacing="0" w:after="0" w:afterAutospacing="0"/>
        <w:ind w:righ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现设有13个二级教学单位：</w:t>
      </w:r>
      <w:r>
        <w:rPr>
          <w:rFonts w:hint="eastAsia" w:ascii="仿宋_GB2312" w:hAnsi="仿宋_GB2312" w:eastAsia="仿宋_GB2312" w:cs="仿宋_GB2312"/>
          <w:color w:val="000000" w:themeColor="text1"/>
          <w:sz w:val="32"/>
          <w14:textFill>
            <w14:solidFill>
              <w14:schemeClr w14:val="tx1"/>
            </w14:solidFill>
          </w14:textFill>
        </w:rPr>
        <w:t>马克思主义学院、教师教育学院、学前教育学院（重庆学前教育学院）、继续教育学院</w:t>
      </w:r>
      <w:r>
        <w:rPr>
          <w:rFonts w:hint="eastAsia" w:ascii="仿宋_GB2312" w:hAnsi="仿宋_GB2312" w:eastAsia="仿宋_GB2312" w:cs="仿宋_GB2312"/>
          <w:color w:val="000000" w:themeColor="text1"/>
          <w:sz w:val="32"/>
          <w:lang w:eastAsia="zh-CN"/>
          <w14:textFill>
            <w14:solidFill>
              <w14:schemeClr w14:val="tx1"/>
            </w14:solidFill>
          </w14:textFill>
        </w:rPr>
        <w:t>（中小学教师发展中心）</w:t>
      </w:r>
      <w:r>
        <w:rPr>
          <w:rFonts w:hint="eastAsia" w:ascii="仿宋_GB2312" w:hAnsi="仿宋_GB2312" w:eastAsia="仿宋_GB2312" w:cs="仿宋_GB2312"/>
          <w:color w:val="000000" w:themeColor="text1"/>
          <w:sz w:val="32"/>
          <w14:textFill>
            <w14:solidFill>
              <w14:schemeClr w14:val="tx1"/>
            </w14:solidFill>
          </w14:textFill>
        </w:rPr>
        <w:t>、国际学院、中兴通讯信息学院、文学与传媒学院、外国语言文学学院、数学与信息工程学院、生物与化学工程学院、经济与工商管理学院、旅游与服务管理学院、美术学院</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sz w:val="32"/>
        </w:rPr>
        <w:t>开设有2</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个本科专业，涵盖教育学、文学、理学、工学、管理学、经济学、艺术学</w:t>
      </w:r>
      <w:r>
        <w:rPr>
          <w:rFonts w:hint="eastAsia" w:ascii="仿宋_GB2312" w:hAnsi="仿宋_GB2312" w:eastAsia="仿宋_GB2312" w:cs="仿宋_GB2312"/>
          <w:color w:val="000000" w:themeColor="text1"/>
          <w:sz w:val="32"/>
          <w14:textFill>
            <w14:solidFill>
              <w14:schemeClr w14:val="tx1"/>
            </w14:solidFill>
          </w14:textFill>
        </w:rPr>
        <w:t>等7个学科门类。</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内设机构分为党政管理、教学科研、教学辅助、后勤保障、群团组织和其他临时机构等。党政管理机构是学校中从事党政管理工作的机构。教学科研机构是直接从事与人才培养相关的理论教学、实践教学、科学研究、学生教育管理的机构。教学辅助机构是为教学科研工作服务的机构。后勤服务机构是为学校各项工作正常运转提供后勤服务保障的机构。群团组织特指工会、团委等组织机构。临时机构是为完成学校的临时性、阶段性工作的机构。</w:t>
      </w:r>
    </w:p>
    <w:p>
      <w:pPr>
        <w:spacing w:line="600" w:lineRule="exact"/>
        <w:ind w:firstLine="640" w:firstLineChars="200"/>
        <w:rPr>
          <w:rFonts w:hint="eastAsia" w:ascii="仿宋_GB2312" w:hAnsi="仿宋_GB2312" w:eastAsia="仿宋_GB2312" w:cs="仿宋_GB2312"/>
          <w:sz w:val="32"/>
        </w:rPr>
      </w:pP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2019年一般公共预算财政拨款收入</w:t>
      </w:r>
      <w:r>
        <w:rPr>
          <w:rFonts w:hint="eastAsia" w:ascii="仿宋_GB2312" w:hAnsi="仿宋_GB2312" w:eastAsia="仿宋_GB2312" w:cs="仿宋_GB2312"/>
          <w:sz w:val="32"/>
          <w:lang w:val="en-US" w:eastAsia="zh-CN"/>
        </w:rPr>
        <w:t>21395.52</w:t>
      </w:r>
      <w:r>
        <w:rPr>
          <w:rFonts w:hint="eastAsia" w:ascii="仿宋_GB2312" w:hAnsi="仿宋_GB2312" w:eastAsia="仿宋_GB2312" w:cs="仿宋_GB2312"/>
          <w:sz w:val="32"/>
        </w:rPr>
        <w:t>万元，一般公共预算财政拨款支出</w:t>
      </w:r>
      <w:r>
        <w:rPr>
          <w:rFonts w:hint="eastAsia" w:ascii="仿宋_GB2312" w:hAnsi="仿宋_GB2312" w:eastAsia="仿宋_GB2312" w:cs="仿宋_GB2312"/>
          <w:sz w:val="32"/>
          <w:lang w:val="en-US" w:eastAsia="zh-CN"/>
        </w:rPr>
        <w:t>21395.52</w:t>
      </w:r>
      <w:r>
        <w:rPr>
          <w:rFonts w:hint="eastAsia" w:ascii="仿宋_GB2312" w:hAnsi="仿宋_GB2312" w:eastAsia="仿宋_GB2312" w:cs="仿宋_GB2312"/>
          <w:sz w:val="32"/>
        </w:rPr>
        <w:t>万元，比2018年增加</w:t>
      </w:r>
      <w:r>
        <w:rPr>
          <w:rFonts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3015.33</w:t>
      </w:r>
      <w:r>
        <w:rPr>
          <w:rFonts w:hint="eastAsia" w:ascii="仿宋_GB2312" w:hAnsi="仿宋_GB2312" w:eastAsia="仿宋_GB2312" w:cs="仿宋_GB2312"/>
          <w:sz w:val="32"/>
        </w:rPr>
        <w:t>万元。其中</w:t>
      </w:r>
      <w:r>
        <w:rPr>
          <w:rFonts w:ascii="仿宋_GB2312" w:hAnsi="仿宋_GB2312" w:eastAsia="仿宋_GB2312" w:cs="仿宋_GB2312"/>
          <w:sz w:val="32"/>
        </w:rPr>
        <w:t>：</w:t>
      </w:r>
      <w:r>
        <w:rPr>
          <w:rFonts w:hint="eastAsia" w:ascii="仿宋_GB2312" w:hAnsi="仿宋_GB2312" w:eastAsia="仿宋_GB2312" w:cs="仿宋_GB2312"/>
          <w:sz w:val="32"/>
        </w:rPr>
        <w:t>基本支出</w:t>
      </w:r>
      <w:r>
        <w:rPr>
          <w:rFonts w:hint="eastAsia" w:ascii="仿宋_GB2312" w:hAnsi="仿宋_GB2312" w:eastAsia="仿宋_GB2312" w:cs="仿宋_GB2312"/>
          <w:sz w:val="32"/>
          <w:lang w:val="en-US" w:eastAsia="zh-CN"/>
        </w:rPr>
        <w:t>14270.43</w:t>
      </w:r>
      <w:r>
        <w:rPr>
          <w:rFonts w:hint="eastAsia" w:ascii="仿宋_GB2312" w:hAnsi="仿宋_GB2312" w:eastAsia="仿宋_GB2312" w:cs="仿宋_GB2312"/>
          <w:sz w:val="32"/>
        </w:rPr>
        <w:t>万元，比2018年减少</w:t>
      </w:r>
      <w:r>
        <w:rPr>
          <w:rFonts w:hint="eastAsia" w:ascii="仿宋_GB2312" w:hAnsi="仿宋_GB2312" w:eastAsia="仿宋_GB2312" w:cs="仿宋_GB2312"/>
          <w:sz w:val="32"/>
          <w:lang w:val="en-US" w:eastAsia="zh-CN"/>
        </w:rPr>
        <w:t>675.29</w:t>
      </w:r>
      <w:r>
        <w:rPr>
          <w:rFonts w:hint="eastAsia" w:ascii="仿宋_GB2312" w:hAnsi="仿宋_GB2312" w:eastAsia="仿宋_GB2312" w:cs="仿宋_GB2312"/>
          <w:sz w:val="32"/>
        </w:rPr>
        <w:t>万元，主要原因是</w:t>
      </w:r>
      <w:r>
        <w:rPr>
          <w:rFonts w:hint="eastAsia" w:ascii="仿宋_GB2312" w:hAnsi="仿宋_GB2312" w:eastAsia="仿宋_GB2312" w:cs="仿宋_GB2312"/>
          <w:sz w:val="32"/>
          <w:lang w:eastAsia="zh-CN"/>
        </w:rPr>
        <w:t>学校学生人数减少，学校办学方向和学生结构调整等</w:t>
      </w:r>
      <w:r>
        <w:rPr>
          <w:rFonts w:hint="eastAsia" w:ascii="仿宋_GB2312" w:hAnsi="仿宋_GB2312" w:eastAsia="仿宋_GB2312" w:cs="仿宋_GB2312"/>
          <w:sz w:val="32"/>
        </w:rPr>
        <w:t>，主要用于</w:t>
      </w:r>
      <w:r>
        <w:rPr>
          <w:rFonts w:ascii="仿宋_GB2312" w:hAnsi="仿宋_GB2312" w:eastAsia="仿宋_GB2312" w:cs="仿宋_GB2312"/>
          <w:sz w:val="32"/>
        </w:rPr>
        <w:t>保障</w:t>
      </w:r>
      <w:r>
        <w:rPr>
          <w:rFonts w:hint="eastAsia" w:ascii="仿宋_GB2312" w:hAnsi="仿宋_GB2312" w:eastAsia="仿宋_GB2312" w:cs="仿宋_GB2312"/>
          <w:sz w:val="32"/>
        </w:rPr>
        <w:t>在职人员工资福利及社会保险缴费，离休人员离休费，</w:t>
      </w:r>
      <w:r>
        <w:rPr>
          <w:rFonts w:ascii="仿宋_GB2312" w:hAnsi="仿宋_GB2312" w:eastAsia="仿宋_GB2312" w:cs="仿宋_GB2312"/>
          <w:sz w:val="32"/>
        </w:rPr>
        <w:t>退休人员</w:t>
      </w:r>
      <w:r>
        <w:rPr>
          <w:rFonts w:hint="eastAsia" w:ascii="仿宋_GB2312" w:hAnsi="仿宋_GB2312" w:eastAsia="仿宋_GB2312" w:cs="仿宋_GB2312"/>
          <w:sz w:val="32"/>
        </w:rPr>
        <w:t>补助等，保障部门正常运转的各项商品服务支出；项目支出</w:t>
      </w:r>
      <w:r>
        <w:rPr>
          <w:rFonts w:hint="eastAsia" w:ascii="仿宋_GB2312" w:hAnsi="仿宋_GB2312" w:eastAsia="仿宋_GB2312" w:cs="仿宋_GB2312"/>
          <w:sz w:val="32"/>
          <w:lang w:val="en-US" w:eastAsia="zh-CN"/>
        </w:rPr>
        <w:t>7125.09</w:t>
      </w:r>
      <w:r>
        <w:rPr>
          <w:rFonts w:hint="eastAsia" w:ascii="仿宋_GB2312" w:hAnsi="仿宋_GB2312" w:eastAsia="仿宋_GB2312" w:cs="仿宋_GB2312"/>
          <w:sz w:val="32"/>
        </w:rPr>
        <w:t>万元，比2018年增加</w:t>
      </w:r>
      <w:r>
        <w:rPr>
          <w:rFonts w:hint="eastAsia" w:ascii="仿宋_GB2312" w:hAnsi="仿宋_GB2312" w:eastAsia="仿宋_GB2312" w:cs="仿宋_GB2312"/>
          <w:sz w:val="32"/>
          <w:lang w:val="en-US" w:eastAsia="zh-CN"/>
        </w:rPr>
        <w:t>3690.62</w:t>
      </w:r>
      <w:r>
        <w:rPr>
          <w:rFonts w:hint="eastAsia" w:ascii="仿宋_GB2312" w:hAnsi="仿宋_GB2312" w:eastAsia="仿宋_GB2312" w:cs="仿宋_GB2312"/>
          <w:sz w:val="32"/>
        </w:rPr>
        <w:t>万元，主要原因是</w:t>
      </w:r>
      <w:r>
        <w:rPr>
          <w:rFonts w:hint="eastAsia" w:ascii="仿宋_GB2312" w:hAnsi="仿宋_GB2312" w:eastAsia="仿宋_GB2312" w:cs="仿宋_GB2312"/>
          <w:sz w:val="32"/>
          <w:lang w:eastAsia="zh-CN"/>
        </w:rPr>
        <w:t>学科建设及科研教学等投入增加</w:t>
      </w:r>
      <w:r>
        <w:rPr>
          <w:rFonts w:hint="eastAsia" w:ascii="仿宋_GB2312" w:hAnsi="仿宋_GB2312" w:eastAsia="仿宋_GB2312" w:cs="仿宋_GB2312"/>
          <w:sz w:val="32"/>
        </w:rPr>
        <w:t>，主要用于</w:t>
      </w:r>
      <w:r>
        <w:rPr>
          <w:rFonts w:hint="eastAsia" w:ascii="仿宋_GB2312" w:hAnsi="仿宋_GB2312" w:eastAsia="仿宋_GB2312" w:cs="仿宋_GB2312"/>
          <w:sz w:val="32"/>
          <w:lang w:eastAsia="zh-CN"/>
        </w:rPr>
        <w:t>保障教学科研</w:t>
      </w:r>
      <w:r>
        <w:rPr>
          <w:rFonts w:hint="eastAsia" w:ascii="仿宋_GB2312" w:hAnsi="仿宋_GB2312" w:eastAsia="仿宋_GB2312" w:cs="仿宋_GB2312"/>
          <w:sz w:val="32"/>
        </w:rPr>
        <w:t>等</w:t>
      </w:r>
      <w:r>
        <w:rPr>
          <w:rFonts w:hint="eastAsia" w:ascii="仿宋_GB2312" w:hAnsi="仿宋_GB2312" w:eastAsia="仿宋_GB2312" w:cs="仿宋_GB2312"/>
          <w:sz w:val="32"/>
          <w:lang w:eastAsia="zh-CN"/>
        </w:rPr>
        <w:t>学校事业发展重点项目的推进等</w:t>
      </w:r>
      <w:r>
        <w:rPr>
          <w:rFonts w:hint="eastAsia" w:ascii="仿宋_GB2312" w:hAnsi="仿宋_GB2312" w:eastAsia="仿宋_GB2312" w:cs="仿宋_GB2312"/>
          <w:sz w:val="32"/>
        </w:rPr>
        <w:t>重点工作。</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重庆第二师范学院</w:t>
      </w:r>
      <w:r>
        <w:rPr>
          <w:rFonts w:ascii="仿宋_GB2312" w:hAnsi="仿宋_GB2312" w:eastAsia="仿宋_GB2312" w:cs="仿宋_GB2312"/>
          <w:sz w:val="32"/>
        </w:rPr>
        <w:t>2019年</w:t>
      </w:r>
      <w:r>
        <w:rPr>
          <w:rFonts w:hint="eastAsia" w:ascii="仿宋_GB2312" w:hAnsi="仿宋_GB2312" w:eastAsia="仿宋_GB2312" w:cs="仿宋_GB2312"/>
          <w:sz w:val="32"/>
        </w:rPr>
        <w:t>未</w:t>
      </w:r>
      <w:r>
        <w:rPr>
          <w:rFonts w:ascii="仿宋_GB2312" w:hAnsi="仿宋_GB2312" w:eastAsia="仿宋_GB2312" w:cs="仿宋_GB2312"/>
          <w:sz w:val="32"/>
        </w:rPr>
        <w:t>使用政府性基金预算拨款安排支出</w:t>
      </w:r>
      <w:r>
        <w:rPr>
          <w:rFonts w:hint="eastAsia" w:ascii="仿宋_GB2312" w:hAnsi="仿宋_GB2312" w:eastAsia="仿宋_GB2312" w:cs="仿宋_GB2312"/>
          <w:sz w:val="32"/>
          <w:lang w:eastAsia="zh-CN"/>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rPr>
          <w:rFonts w:hint="eastAsia" w:ascii="仿宋_GB2312" w:hAnsi="仿宋_GB2312" w:eastAsia="仿宋_GB2312" w:cs="仿宋_GB2312"/>
          <w:sz w:val="32"/>
        </w:rPr>
      </w:pPr>
      <w:r>
        <w:rPr>
          <w:rFonts w:hint="eastAsia" w:ascii="方正仿宋_GBK" w:eastAsia="方正仿宋_GBK"/>
          <w:sz w:val="32"/>
        </w:rPr>
        <w:t xml:space="preserve">   </w:t>
      </w:r>
      <w:r>
        <w:rPr>
          <w:rFonts w:hint="eastAsia" w:ascii="仿宋_GB2312" w:hAnsi="仿宋_GB2312" w:eastAsia="仿宋_GB2312" w:cs="仿宋_GB2312"/>
          <w:sz w:val="32"/>
        </w:rPr>
        <w:t xml:space="preserve"> 2019年“三公”经费预算</w:t>
      </w:r>
      <w:r>
        <w:rPr>
          <w:rFonts w:hint="eastAsia" w:ascii="仿宋_GB2312" w:hAnsi="仿宋_GB2312" w:eastAsia="仿宋_GB2312" w:cs="仿宋_GB2312"/>
          <w:sz w:val="32"/>
          <w:lang w:val="en-US" w:eastAsia="zh-CN"/>
        </w:rPr>
        <w:t>143</w:t>
      </w:r>
      <w:r>
        <w:rPr>
          <w:rFonts w:hint="eastAsia" w:ascii="仿宋_GB2312" w:hAnsi="仿宋_GB2312" w:eastAsia="仿宋_GB2312" w:cs="仿宋_GB2312"/>
          <w:sz w:val="32"/>
        </w:rPr>
        <w:t>万元，比2018年减少</w:t>
      </w:r>
      <w:r>
        <w:rPr>
          <w:rFonts w:hint="eastAsia" w:ascii="仿宋_GB2312" w:hAnsi="仿宋_GB2312" w:eastAsia="仿宋_GB2312" w:cs="仿宋_GB2312"/>
          <w:sz w:val="32"/>
          <w:lang w:val="en-US" w:eastAsia="zh-CN"/>
        </w:rPr>
        <w:t>1.6</w:t>
      </w:r>
      <w:r>
        <w:rPr>
          <w:rFonts w:hint="eastAsia" w:ascii="仿宋_GB2312" w:hAnsi="仿宋_GB2312" w:eastAsia="仿宋_GB2312" w:cs="仿宋_GB2312"/>
          <w:sz w:val="32"/>
        </w:rPr>
        <w:t>万元。其中：因公出国（境）费用</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万元，比2018年</w:t>
      </w:r>
      <w:r>
        <w:rPr>
          <w:rFonts w:hint="eastAsia" w:ascii="仿宋_GB2312" w:hAnsi="仿宋_GB2312" w:eastAsia="仿宋_GB2312" w:cs="仿宋_GB2312"/>
          <w:sz w:val="32"/>
          <w:lang w:eastAsia="zh-CN"/>
        </w:rPr>
        <w:t>相比无变化</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55</w:t>
      </w:r>
      <w:r>
        <w:rPr>
          <w:rFonts w:hint="eastAsia" w:ascii="仿宋_GB2312" w:hAnsi="仿宋_GB2312" w:eastAsia="仿宋_GB2312" w:cs="仿宋_GB2312"/>
          <w:sz w:val="32"/>
        </w:rPr>
        <w:t>万元，比2018年减少</w:t>
      </w:r>
      <w:r>
        <w:rPr>
          <w:rFonts w:hint="eastAsia" w:ascii="仿宋_GB2312" w:hAnsi="仿宋_GB2312" w:eastAsia="仿宋_GB2312" w:cs="仿宋_GB2312"/>
          <w:sz w:val="32"/>
          <w:lang w:val="en-US" w:eastAsia="zh-CN"/>
        </w:rPr>
        <w:t>0.8</w:t>
      </w:r>
      <w:r>
        <w:rPr>
          <w:rFonts w:hint="eastAsia" w:ascii="仿宋_GB2312" w:hAnsi="仿宋_GB2312" w:eastAsia="仿宋_GB2312" w:cs="仿宋_GB2312"/>
          <w:sz w:val="32"/>
        </w:rPr>
        <w:t>万元，主要原因是</w:t>
      </w:r>
      <w:r>
        <w:rPr>
          <w:rFonts w:hint="eastAsia" w:ascii="仿宋_GB2312" w:hAnsi="仿宋_GB2312" w:eastAsia="仿宋_GB2312" w:cs="仿宋_GB2312"/>
          <w:sz w:val="32"/>
          <w:lang w:eastAsia="zh-CN"/>
        </w:rPr>
        <w:t>根据以前年度使用情况而调减</w:t>
      </w:r>
      <w:r>
        <w:rPr>
          <w:rFonts w:hint="eastAsia" w:ascii="仿宋_GB2312" w:hAnsi="仿宋_GB2312" w:eastAsia="仿宋_GB2312" w:cs="仿宋_GB2312"/>
          <w:sz w:val="32"/>
        </w:rPr>
        <w:t>；公务用车运行维护费</w:t>
      </w:r>
      <w:r>
        <w:rPr>
          <w:rFonts w:hint="eastAsia" w:ascii="仿宋_GB2312" w:hAnsi="仿宋_GB2312" w:eastAsia="仿宋_GB2312" w:cs="仿宋_GB2312"/>
          <w:sz w:val="32"/>
          <w:lang w:val="en-US" w:eastAsia="zh-CN"/>
        </w:rPr>
        <w:t>68</w:t>
      </w:r>
      <w:r>
        <w:rPr>
          <w:rFonts w:hint="eastAsia" w:ascii="仿宋_GB2312" w:hAnsi="仿宋_GB2312" w:eastAsia="仿宋_GB2312" w:cs="仿宋_GB2312"/>
          <w:sz w:val="32"/>
        </w:rPr>
        <w:t>万元，比2018年减少</w:t>
      </w:r>
      <w:r>
        <w:rPr>
          <w:rFonts w:hint="eastAsia" w:ascii="仿宋_GB2312" w:hAnsi="仿宋_GB2312" w:eastAsia="仿宋_GB2312" w:cs="仿宋_GB2312"/>
          <w:sz w:val="32"/>
          <w:lang w:val="en-US" w:eastAsia="zh-CN"/>
        </w:rPr>
        <w:t>0.8</w:t>
      </w:r>
      <w:r>
        <w:rPr>
          <w:rFonts w:hint="eastAsia" w:ascii="仿宋_GB2312" w:hAnsi="仿宋_GB2312" w:eastAsia="仿宋_GB2312" w:cs="仿宋_GB2312"/>
          <w:sz w:val="32"/>
        </w:rPr>
        <w:t>万元，主要原因是</w:t>
      </w:r>
      <w:r>
        <w:rPr>
          <w:rFonts w:hint="eastAsia" w:ascii="仿宋_GB2312" w:hAnsi="仿宋_GB2312" w:eastAsia="仿宋_GB2312" w:cs="仿宋_GB2312"/>
          <w:sz w:val="32"/>
          <w:lang w:eastAsia="zh-CN"/>
        </w:rPr>
        <w:t>根据以前年度使用情况而调减</w:t>
      </w:r>
      <w:r>
        <w:rPr>
          <w:rFonts w:hint="eastAsia" w:ascii="仿宋_GB2312" w:hAnsi="仿宋_GB2312" w:eastAsia="仿宋_GB2312" w:cs="仿宋_GB2312"/>
          <w:sz w:val="32"/>
        </w:rPr>
        <w:t>；</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lang w:val="en-US" w:eastAsia="zh-CN"/>
        </w:rPr>
        <w:t>未安排预算</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2018年相比无变化</w:t>
      </w:r>
      <w:r>
        <w:rPr>
          <w:rFonts w:hint="eastAsia" w:ascii="仿宋_GB2312" w:hAnsi="仿宋_GB2312" w:eastAsia="仿宋_GB2312" w:cs="仿宋_GB2312"/>
          <w:sz w:val="32"/>
        </w:rPr>
        <w:t>。</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1、我单位不在</w:t>
      </w:r>
      <w:r>
        <w:rPr>
          <w:rFonts w:ascii="仿宋_GB2312" w:hAnsi="仿宋_GB2312" w:eastAsia="仿宋_GB2312" w:cs="仿宋_GB2312"/>
          <w:sz w:val="32"/>
        </w:rPr>
        <w:t>机关运行经费统计范围之内。</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w:t>
      </w:r>
      <w:r>
        <w:rPr>
          <w:rFonts w:ascii="仿宋_GB2312" w:hAnsi="仿宋_GB2312" w:eastAsia="仿宋_GB2312" w:cs="仿宋_GB2312"/>
          <w:sz w:val="32"/>
        </w:rPr>
        <w:t>所属各预算单位政府采购预总额</w:t>
      </w:r>
      <w:r>
        <w:rPr>
          <w:rFonts w:hint="eastAsia" w:ascii="仿宋_GB2312" w:hAnsi="仿宋_GB2312" w:eastAsia="仿宋_GB2312" w:cs="仿宋_GB2312"/>
          <w:sz w:val="32"/>
          <w:lang w:val="en-US" w:eastAsia="zh-CN"/>
        </w:rPr>
        <w:t>2300</w:t>
      </w:r>
      <w:r>
        <w:rPr>
          <w:rFonts w:hint="eastAsia" w:ascii="仿宋_GB2312" w:hAnsi="仿宋_GB2312" w:eastAsia="仿宋_GB2312" w:cs="仿宋_GB2312"/>
          <w:sz w:val="32"/>
        </w:rPr>
        <w:t>万元，其中：政府采购货物预算</w:t>
      </w:r>
      <w:r>
        <w:rPr>
          <w:rFonts w:hint="eastAsia" w:ascii="仿宋_GB2312" w:hAnsi="仿宋_GB2312" w:eastAsia="仿宋_GB2312" w:cs="仿宋_GB2312"/>
          <w:sz w:val="32"/>
          <w:lang w:val="en-US" w:eastAsia="zh-CN"/>
        </w:rPr>
        <w:t>1300</w:t>
      </w:r>
      <w:r>
        <w:rPr>
          <w:rFonts w:hint="eastAsia" w:ascii="仿宋_GB2312" w:hAnsi="仿宋_GB2312" w:eastAsia="仿宋_GB2312" w:cs="仿宋_GB2312"/>
          <w:sz w:val="32"/>
        </w:rPr>
        <w:t>万元、政府采购工程预算</w:t>
      </w:r>
      <w:r>
        <w:rPr>
          <w:rFonts w:hint="eastAsia" w:ascii="仿宋_GB2312" w:hAnsi="仿宋_GB2312" w:eastAsia="仿宋_GB2312" w:cs="仿宋_GB2312"/>
          <w:sz w:val="32"/>
          <w:lang w:val="en-US" w:eastAsia="zh-CN"/>
        </w:rPr>
        <w:t>1000</w:t>
      </w:r>
      <w:r>
        <w:rPr>
          <w:rFonts w:hint="eastAsia" w:ascii="仿宋_GB2312" w:hAnsi="仿宋_GB2312" w:eastAsia="仿宋_GB2312" w:cs="仿宋_GB2312"/>
          <w:sz w:val="32"/>
        </w:rPr>
        <w:t>万元。</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sz w:val="32"/>
        </w:rPr>
        <w:t>3、绩效目标设置情况。</w:t>
      </w:r>
      <w:r>
        <w:rPr>
          <w:rFonts w:ascii="仿宋_GB2312" w:hAnsi="仿宋_GB2312" w:eastAsia="仿宋_GB2312" w:cs="仿宋_GB2312"/>
          <w:color w:val="000000"/>
          <w:sz w:val="32"/>
        </w:rPr>
        <w:t>2019年项目支出</w:t>
      </w:r>
      <w:r>
        <w:rPr>
          <w:rFonts w:hint="eastAsia" w:ascii="仿宋_GB2312" w:hAnsi="仿宋_GB2312" w:eastAsia="仿宋_GB2312" w:cs="仿宋_GB2312"/>
          <w:color w:val="000000"/>
          <w:sz w:val="32"/>
        </w:rPr>
        <w:t>均实行了</w:t>
      </w:r>
      <w:r>
        <w:rPr>
          <w:rFonts w:ascii="仿宋_GB2312" w:hAnsi="仿宋_GB2312" w:eastAsia="仿宋_GB2312" w:cs="仿宋_GB2312"/>
          <w:color w:val="000000"/>
          <w:sz w:val="32"/>
        </w:rPr>
        <w:t>绩效目标管理</w:t>
      </w:r>
      <w:r>
        <w:rPr>
          <w:rFonts w:hint="eastAsia" w:ascii="仿宋_GB2312" w:hAnsi="仿宋_GB2312" w:eastAsia="仿宋_GB2312" w:cs="仿宋_GB2312"/>
          <w:color w:val="000000"/>
          <w:sz w:val="32"/>
        </w:rPr>
        <w:t>，涉及一般公共预算当年财政拨款</w:t>
      </w:r>
      <w:r>
        <w:rPr>
          <w:rFonts w:hint="eastAsia" w:ascii="仿宋_GB2312" w:hAnsi="仿宋_GB2312" w:eastAsia="仿宋_GB2312" w:cs="仿宋_GB2312"/>
          <w:color w:val="000000"/>
          <w:sz w:val="32"/>
          <w:lang w:val="en-US" w:eastAsia="zh-CN"/>
        </w:rPr>
        <w:t>7125.09</w:t>
      </w:r>
      <w:r>
        <w:rPr>
          <w:rFonts w:hint="eastAsia" w:ascii="仿宋_GB2312" w:hAnsi="仿宋_GB2312" w:eastAsia="仿宋_GB2312" w:cs="仿宋_GB2312"/>
          <w:color w:val="000000"/>
          <w:sz w:val="32"/>
        </w:rPr>
        <w:t>万元。</w:t>
      </w:r>
    </w:p>
    <w:p>
      <w:pPr>
        <w:ind w:firstLine="640" w:firstLineChars="200"/>
        <w:rPr>
          <w:rFonts w:hint="eastAsia" w:ascii="仿宋_GB2312" w:hAnsi="仿宋_GB2312" w:eastAsia="仿宋_GB2312" w:cs="仿宋_GB2312"/>
          <w:color w:val="auto"/>
          <w:sz w:val="32"/>
          <w:lang w:val="en-US" w:eastAsia="zh-CN"/>
        </w:rPr>
      </w:pPr>
      <w:bookmarkStart w:id="0" w:name="_GoBack"/>
      <w:r>
        <w:rPr>
          <w:rFonts w:hint="eastAsia" w:ascii="仿宋_GB2312" w:hAnsi="仿宋_GB2312" w:eastAsia="仿宋_GB2312" w:cs="仿宋_GB2312"/>
          <w:color w:val="auto"/>
          <w:sz w:val="32"/>
          <w:lang w:val="en-US" w:eastAsia="zh-CN"/>
        </w:rPr>
        <w:t>4、国有资产占有使用情况。截止2018年12月,所属各预算单位共有车辆19辆,其中一般公务用车19辆、执勤执法用车0辆。2019年一般公共预算安排购置车辆0辆,其中一般公务用车0辆、执勤执法用车0辆。</w:t>
      </w:r>
    </w:p>
    <w:bookmarkEnd w:id="0"/>
    <w:p>
      <w:pPr>
        <w:numPr>
          <w:ilvl w:val="0"/>
          <w:numId w:val="0"/>
        </w:numPr>
        <w:spacing w:line="600" w:lineRule="exact"/>
        <w:ind w:firstLine="640" w:firstLineChars="200"/>
        <w:rPr>
          <w:rFonts w:hint="eastAsia" w:ascii="黑体" w:hAnsi="黑体" w:eastAsia="黑体" w:cs="仿宋_GB2312"/>
          <w:sz w:val="32"/>
          <w:lang w:val="en-US" w:eastAsia="zh-CN"/>
        </w:rPr>
      </w:pPr>
      <w:r>
        <w:rPr>
          <w:rFonts w:hint="eastAsia" w:ascii="黑体" w:hAnsi="黑体" w:eastAsia="黑体" w:cs="仿宋_GB2312"/>
          <w:sz w:val="32"/>
          <w:lang w:val="en-US" w:eastAsia="zh-CN"/>
        </w:rPr>
        <w:t>五、专业性名词解释</w:t>
      </w:r>
    </w:p>
    <w:p>
      <w:pPr>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（一）财政拨款收入：指本年度从本级财政部门取得的财政拨款，包括一般公共预算财政拨款和政府性基金预算财政拨款。</w:t>
      </w:r>
    </w:p>
    <w:p>
      <w:pPr>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（二）其他收入：指单位取得的除“财政拨款收入”、“事业收入”、“经营收入”等以外的收入。</w:t>
      </w:r>
    </w:p>
    <w:p>
      <w:pPr>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（三）基本支出：指为保障机构正常运转、完成日常工作任务而发生的人员经费和公用经费。</w:t>
      </w:r>
    </w:p>
    <w:p>
      <w:pPr>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仿宋_GB2312" w:hAnsi="仿宋_GB2312" w:eastAsia="仿宋_GB2312" w:cs="仿宋_GB2312"/>
          <w:b/>
          <w:sz w:val="32"/>
          <w:lang w:val="en-US" w:eastAsia="zh-CN"/>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lang w:eastAsia="zh-CN"/>
        </w:rPr>
        <w:t>李杨</w:t>
      </w:r>
      <w:r>
        <w:rPr>
          <w:rFonts w:hint="eastAsia" w:ascii="仿宋_GB2312" w:hAnsi="仿宋_GB2312" w:eastAsia="仿宋_GB2312" w:cs="仿宋_GB2312"/>
          <w:b/>
          <w:sz w:val="32"/>
          <w:lang w:val="en-US" w:eastAsia="zh-CN"/>
        </w:rPr>
        <w:t xml:space="preserve"> </w:t>
      </w:r>
      <w:r>
        <w:rPr>
          <w:rFonts w:hint="eastAsia" w:ascii="仿宋_GB2312" w:hAnsi="仿宋_GB2312" w:eastAsia="仿宋_GB2312" w:cs="仿宋_GB2312"/>
          <w:b/>
          <w:sz w:val="32"/>
        </w:rPr>
        <w:t xml:space="preserve"> 联系方式</w:t>
      </w:r>
      <w:r>
        <w:rPr>
          <w:rFonts w:ascii="仿宋_GB2312" w:hAnsi="仿宋_GB2312" w:eastAsia="仿宋_GB2312" w:cs="仿宋_GB2312"/>
          <w:b/>
          <w:sz w:val="32"/>
        </w:rPr>
        <w:t>：</w:t>
      </w:r>
      <w:r>
        <w:rPr>
          <w:rFonts w:hint="eastAsia" w:ascii="仿宋_GB2312" w:hAnsi="仿宋_GB2312" w:eastAsia="仿宋_GB2312" w:cs="仿宋_GB2312"/>
          <w:b/>
          <w:sz w:val="32"/>
          <w:lang w:val="en-US" w:eastAsia="zh-CN"/>
        </w:rPr>
        <w:t>023-61638188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7514E"/>
    <w:multiLevelType w:val="singleLevel"/>
    <w:tmpl w:val="F287514E"/>
    <w:lvl w:ilvl="0" w:tentative="0">
      <w:start w:val="1"/>
      <w:numFmt w:val="chineseCounting"/>
      <w:suff w:val="nothing"/>
      <w:lvlText w:val="（%1）"/>
      <w:lvlJc w:val="left"/>
      <w:rPr>
        <w:rFonts w:hint="eastAsia"/>
      </w:rPr>
    </w:lvl>
  </w:abstractNum>
  <w:abstractNum w:abstractNumId="1">
    <w:nsid w:val="5847F1BC"/>
    <w:multiLevelType w:val="singleLevel"/>
    <w:tmpl w:val="5847F1B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30FE3"/>
    <w:rsid w:val="0E7F4416"/>
    <w:rsid w:val="112128F9"/>
    <w:rsid w:val="140474DD"/>
    <w:rsid w:val="16E57A03"/>
    <w:rsid w:val="20D25A4F"/>
    <w:rsid w:val="23742FAB"/>
    <w:rsid w:val="2C8A063B"/>
    <w:rsid w:val="3C220D80"/>
    <w:rsid w:val="3EA16806"/>
    <w:rsid w:val="578C49EB"/>
    <w:rsid w:val="623622D0"/>
    <w:rsid w:val="69A32E22"/>
    <w:rsid w:val="6B4E2667"/>
    <w:rsid w:val="6F6E2029"/>
    <w:rsid w:val="721B23C4"/>
    <w:rsid w:val="788B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272727"/>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272727"/>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styleId="12">
    <w:name w:val="HTML Keyboard"/>
    <w:basedOn w:val="4"/>
    <w:qFormat/>
    <w:uiPriority w:val="0"/>
    <w:rPr>
      <w:rFonts w:ascii="Courier New" w:hAnsi="Courier New"/>
      <w:sz w:val="20"/>
    </w:rPr>
  </w:style>
  <w:style w:type="character" w:styleId="13">
    <w:name w:val="HTML Sample"/>
    <w:basedOn w:val="4"/>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2019-03-04T03:21:53Z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