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100" w:line="360" w:lineRule="auto"/>
        <w:jc w:val="center"/>
        <w:outlineLvl w:val="0"/>
        <w:rPr>
          <w:rFonts w:asciiTheme="minorEastAsia" w:hAnsiTheme="minorEastAsia" w:eastAsiaTheme="minorEastAsia"/>
        </w:rPr>
      </w:pPr>
      <w:r>
        <w:rPr>
          <w:rFonts w:hint="eastAsia" w:cs="宋体" w:asciiTheme="minorEastAsia" w:hAnsiTheme="minorEastAsia" w:eastAsiaTheme="minorEastAsia"/>
          <w:b/>
          <w:bCs/>
          <w:color w:val="363636"/>
          <w:kern w:val="36"/>
          <w:sz w:val="32"/>
          <w:szCs w:val="32"/>
        </w:rPr>
        <w:t>重庆市国有资金投资建设工程合理价格组成及合理低价投标报价暂行规定</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一、为规范建设工程施工招标投标计价行为，合理确定和有效控制工程造价，维护建设工程承发包双方权益，根据《中华人民共和国招标投标法》、《建设工程价款结算暂行办法》、《重庆市建筑管理条例》、《重庆市建设工程造价管理规定》等的有关要求，特制定本规定。</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二、凡本市行政区域内全部使用国有资金投资或国有资金投资占控股或者占主导地位的房屋建筑和市政基础设施工程(简称国有资金投资建设工程)施工招投标计价时应按本规定执行；其他建设工程可参照本规定办理。</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三、本规定所称建设成本包括直接成本和间接成本。</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(一)直接成本是指施工过程中耗用的构成工程实体的各项费用和为完成工程项目施工发生的非实体项目的各项费用，包括直接工程费和措施费。</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直接工程费包括人工费、材料费、机械费。</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措施费包括环境保护费、临时设施费、夜间施工费、二次搬运费、模板及支架费、脚手架费、大型机械设备进出场及安拆费、施工排水及降水费、已完工程及设备保护费等施工期间发生的施工技术措施和施工组织措施费用。</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(二)间接成本是指施工企业为组织和管理工程施工所发生的全部费用和政府有关权力部门规定必须缴纳的费用，包括企业管理费、规费、安全文明施工专项费用。</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企业管理费包括管理人员工资、办公费、差旅交通费、固定资产使用费、工具用具使用费、劳动保险费、工会经费、职工教育经费、财产保险费、财务费、税金和其他费用。 </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规费包括工程排污费、工程定额测定费、养老保险费、、失业保险费、医疗保险费、住房公积金、危险作业意外伤害保险。</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安全文明施工专项费用按市建设行政主管部门颁发的文件执行。</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四、投标人报价时应依据投标企业定额或参照市建设行政主管部门颁发的工程预算定额(计价定额)、消耗量定额的消耗量标准，根据投标人的技术水平、管理水平和工程建设情况及市场价格，按本规定的费用计算原则自主报价。投标人的报价应当满足</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招标文件的实质性要求，不得低于建设成本报价。</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五、投标人不得采用总价优惠(下浮)或以总价百分比优惠(下浮)的方式进行投标报价，其优惠应直接体现在各项投标报价中。</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六、投标人不得以自有机械设备闲置、自有材料等为由不计入建设成本进行投标报价。</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七、投标人的报价由不可竞争费用和可竞争费用构成。</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不可竞争费用包括：规费、安全文明施工专项费用、税金。</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可竞争费用包括：人工费、材料费、机械费、企业管理费、利润。</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不可竞争费用应严格执行市建设行政主管部门发布的有关费用标准规定，不得降低标准进行报价。</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可竞争费用由投标企业在本办法规定的各项费用竞争幅度范围内或依据企业自身情况自行确定费用标准，但应满足以下要求：</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(一)投标人根据企业定额报价，其人工、材料、机械消耗量低于本规定的最低控制线标准的，询标时，应提供其企业定额的分析资料。</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(二)投标人根据市场价格报价，其人工价格低于本规定的最低控制线标准的，询标时，应提供劳务公司出具的劳动合同或投标企业同期其他工程的人工价格支付资料等证明材料。</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三)投标人根据市场价格报价，其主要消耗材料价格低于本规定的最低控制线标准的，询标时，应提供材料供应商的书面供应承诺书或意向性合同或同期其他工程材料供应合同等证明资料。承诺书中要列出材料供应商对质量、等级、单价、数量等内容的承诺，并提供相关证明材料。</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(四)投标人根据市场价格报价，其主要机械台班价格低于本规定的最低控制线标准的询标时，应提供机械租赁商的书面租赁承诺书或同期其他工程施工机械设备租赁合同等证明资料。</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(五)企业管理费应满足投标人管理成本支出。其企业管理费低于本规定的最低控制线标准的，询标时，应提供工程项目管理成本分析资料。</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八、可竞争费用最低控制线标准。</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(一)主要项目的人工、材料、机械消耗量。</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根据工程特征选择工程数量较大或造价较高的项目作为主要项目，以重庆市建设行政主管部门颁发的工程预算定额(计价定额)或消耗量定额的消耗量标准，下浮3％为最低控制线标准(注：土石方工程暂不作此项控制)。</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(二)人工价格。</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以市建设工程造价管理总站发布的《重庆工程造价信息》、《装饰造价》的指导价格为基准价，下浮5％为最低控制线标准。</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(三)主要材料价格。</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1、主要材料根据工程特征选择用量较大和价格较高的材料，招标人应在招标文件中明确主要材料品种。一般应包括以下主要材料：</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建筑工程：钢材、木材、水泥、商品砼、砂、石子、墙体砌块、面砖、装饰石材、门窗、外墙涂料、防水材料等。 </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市政工程：钢材、木材、水泥、商品砼、砂、石子、排水管道、沥青及半成品、人行道板及广场方块、防水材料等。</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装饰工程：钢材、木材、水泥、装饰石材、面砖、地砖、成品门窗、外墙涂料、幕墙龙骨、吊项龙骨、装饰板材、防水材料等。</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安装工程：钢材、管材、线缆、阀门、风口、卫生洁具、工具等主材。</w:t>
      </w:r>
    </w:p>
    <w:p>
      <w:pPr>
        <w:widowControl/>
        <w:adjustRightInd w:val="0"/>
        <w:snapToGrid w:val="0"/>
        <w:spacing w:line="360" w:lineRule="auto"/>
        <w:ind w:firstLine="480"/>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2、最低控制线标准以入围投标报价的材料价格中扣除一个最高值、一个最低值后的算术平均值，与市建设工程造价管理部门公布的材料指导价各占50％计算综合平均值，综合平均值再下浮一定比例作为最低控制线标准(见下表)。</w:t>
      </w:r>
    </w:p>
    <w:p>
      <w:pPr>
        <w:widowControl/>
        <w:adjustRightInd w:val="0"/>
        <w:snapToGrid w:val="0"/>
        <w:spacing w:line="360" w:lineRule="auto"/>
        <w:ind w:firstLine="480"/>
        <w:rPr>
          <w:rFonts w:cs="Arial" w:asciiTheme="minorEastAsia" w:hAnsiTheme="minorEastAsia" w:eastAsiaTheme="minorEastAsia"/>
          <w:color w:val="000000"/>
          <w:kern w:val="0"/>
          <w:sz w:val="24"/>
          <w:szCs w:val="24"/>
        </w:rPr>
      </w:pPr>
    </w:p>
    <w:tbl>
      <w:tblPr>
        <w:tblStyle w:val="3"/>
        <w:tblW w:w="7710" w:type="dxa"/>
        <w:jc w:val="center"/>
        <w:tblInd w:w="0" w:type="dxa"/>
        <w:tblLayout w:type="fixed"/>
        <w:tblCellMar>
          <w:top w:w="0" w:type="dxa"/>
          <w:left w:w="0" w:type="dxa"/>
          <w:bottom w:w="0" w:type="dxa"/>
          <w:right w:w="0" w:type="dxa"/>
        </w:tblCellMar>
      </w:tblPr>
      <w:tblGrid>
        <w:gridCol w:w="1512"/>
        <w:gridCol w:w="3498"/>
        <w:gridCol w:w="2700"/>
      </w:tblGrid>
      <w:tr>
        <w:tblPrEx>
          <w:tblLayout w:type="fixed"/>
          <w:tblCellMar>
            <w:top w:w="0" w:type="dxa"/>
            <w:left w:w="0" w:type="dxa"/>
            <w:bottom w:w="0" w:type="dxa"/>
            <w:right w:w="0" w:type="dxa"/>
          </w:tblCellMar>
        </w:tblPrEx>
        <w:trPr>
          <w:trHeight w:val="489" w:hRule="atLeast"/>
          <w:jc w:val="center"/>
        </w:trPr>
        <w:tc>
          <w:tcPr>
            <w:tcW w:w="1512" w:type="dxa"/>
            <w:tcBorders>
              <w:top w:val="single" w:color="auto" w:sz="12" w:space="0"/>
              <w:left w:val="single" w:color="auto" w:sz="12" w:space="0"/>
              <w:bottom w:val="single" w:color="auto" w:sz="8" w:space="0"/>
              <w:right w:val="single" w:color="auto" w:sz="8"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序号</w:t>
            </w:r>
          </w:p>
        </w:tc>
        <w:tc>
          <w:tcPr>
            <w:tcW w:w="3498" w:type="dxa"/>
            <w:tcBorders>
              <w:top w:val="single" w:color="auto" w:sz="12" w:space="0"/>
              <w:left w:val="single" w:color="auto" w:sz="8" w:space="0"/>
              <w:bottom w:val="single" w:color="auto" w:sz="8" w:space="0"/>
              <w:right w:val="single" w:color="auto" w:sz="8"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材料名称</w:t>
            </w:r>
          </w:p>
        </w:tc>
        <w:tc>
          <w:tcPr>
            <w:tcW w:w="2700" w:type="dxa"/>
            <w:tcBorders>
              <w:top w:val="single" w:color="auto" w:sz="12" w:space="0"/>
              <w:left w:val="single" w:color="auto" w:sz="8" w:space="0"/>
              <w:bottom w:val="single" w:color="auto" w:sz="8" w:space="0"/>
              <w:right w:val="single" w:color="auto" w:sz="12"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下浮数(%)</w:t>
            </w:r>
          </w:p>
        </w:tc>
      </w:tr>
      <w:tr>
        <w:tblPrEx>
          <w:tblLayout w:type="fixed"/>
          <w:tblCellMar>
            <w:top w:w="0" w:type="dxa"/>
            <w:left w:w="0" w:type="dxa"/>
            <w:bottom w:w="0" w:type="dxa"/>
            <w:right w:w="0" w:type="dxa"/>
          </w:tblCellMar>
        </w:tblPrEx>
        <w:trPr>
          <w:trHeight w:val="513" w:hRule="atLeast"/>
          <w:jc w:val="center"/>
        </w:trPr>
        <w:tc>
          <w:tcPr>
            <w:tcW w:w="1512"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1</w:t>
            </w:r>
          </w:p>
        </w:tc>
        <w:tc>
          <w:tcPr>
            <w:tcW w:w="349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80" w:lineRule="exact"/>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钢材／木材／水泥</w:t>
            </w:r>
          </w:p>
        </w:tc>
        <w:tc>
          <w:tcPr>
            <w:tcW w:w="2700"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10</w:t>
            </w:r>
          </w:p>
        </w:tc>
      </w:tr>
      <w:tr>
        <w:tblPrEx>
          <w:tblLayout w:type="fixed"/>
          <w:tblCellMar>
            <w:top w:w="0" w:type="dxa"/>
            <w:left w:w="0" w:type="dxa"/>
            <w:bottom w:w="0" w:type="dxa"/>
            <w:right w:w="0" w:type="dxa"/>
          </w:tblCellMar>
        </w:tblPrEx>
        <w:trPr>
          <w:trHeight w:val="513" w:hRule="atLeast"/>
          <w:jc w:val="center"/>
        </w:trPr>
        <w:tc>
          <w:tcPr>
            <w:tcW w:w="1512"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2</w:t>
            </w:r>
          </w:p>
        </w:tc>
        <w:tc>
          <w:tcPr>
            <w:tcW w:w="349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80" w:lineRule="exact"/>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商品砼</w:t>
            </w:r>
          </w:p>
        </w:tc>
        <w:tc>
          <w:tcPr>
            <w:tcW w:w="2700"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10</w:t>
            </w:r>
          </w:p>
        </w:tc>
      </w:tr>
      <w:tr>
        <w:tblPrEx>
          <w:tblLayout w:type="fixed"/>
          <w:tblCellMar>
            <w:top w:w="0" w:type="dxa"/>
            <w:left w:w="0" w:type="dxa"/>
            <w:bottom w:w="0" w:type="dxa"/>
            <w:right w:w="0" w:type="dxa"/>
          </w:tblCellMar>
        </w:tblPrEx>
        <w:trPr>
          <w:trHeight w:val="513" w:hRule="atLeast"/>
          <w:jc w:val="center"/>
        </w:trPr>
        <w:tc>
          <w:tcPr>
            <w:tcW w:w="1512"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3</w:t>
            </w:r>
          </w:p>
        </w:tc>
        <w:tc>
          <w:tcPr>
            <w:tcW w:w="349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80" w:lineRule="exact"/>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砂、石子</w:t>
            </w:r>
          </w:p>
        </w:tc>
        <w:tc>
          <w:tcPr>
            <w:tcW w:w="2700"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10</w:t>
            </w:r>
          </w:p>
        </w:tc>
      </w:tr>
      <w:tr>
        <w:tblPrEx>
          <w:tblLayout w:type="fixed"/>
          <w:tblCellMar>
            <w:top w:w="0" w:type="dxa"/>
            <w:left w:w="0" w:type="dxa"/>
            <w:bottom w:w="0" w:type="dxa"/>
            <w:right w:w="0" w:type="dxa"/>
          </w:tblCellMar>
        </w:tblPrEx>
        <w:trPr>
          <w:trHeight w:val="513" w:hRule="atLeast"/>
          <w:jc w:val="center"/>
        </w:trPr>
        <w:tc>
          <w:tcPr>
            <w:tcW w:w="1512"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4</w:t>
            </w:r>
          </w:p>
        </w:tc>
        <w:tc>
          <w:tcPr>
            <w:tcW w:w="349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80" w:lineRule="exact"/>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墙体砌块</w:t>
            </w:r>
          </w:p>
        </w:tc>
        <w:tc>
          <w:tcPr>
            <w:tcW w:w="2700"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5</w:t>
            </w:r>
          </w:p>
        </w:tc>
      </w:tr>
      <w:tr>
        <w:tblPrEx>
          <w:tblLayout w:type="fixed"/>
          <w:tblCellMar>
            <w:top w:w="0" w:type="dxa"/>
            <w:left w:w="0" w:type="dxa"/>
            <w:bottom w:w="0" w:type="dxa"/>
            <w:right w:w="0" w:type="dxa"/>
          </w:tblCellMar>
        </w:tblPrEx>
        <w:trPr>
          <w:trHeight w:val="508" w:hRule="atLeast"/>
          <w:jc w:val="center"/>
        </w:trPr>
        <w:tc>
          <w:tcPr>
            <w:tcW w:w="1512"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5</w:t>
            </w:r>
          </w:p>
        </w:tc>
        <w:tc>
          <w:tcPr>
            <w:tcW w:w="349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80" w:lineRule="exact"/>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墙面砖、地砖</w:t>
            </w:r>
          </w:p>
        </w:tc>
        <w:tc>
          <w:tcPr>
            <w:tcW w:w="2700"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15</w:t>
            </w:r>
          </w:p>
        </w:tc>
      </w:tr>
      <w:tr>
        <w:tblPrEx>
          <w:tblLayout w:type="fixed"/>
          <w:tblCellMar>
            <w:top w:w="0" w:type="dxa"/>
            <w:left w:w="0" w:type="dxa"/>
            <w:bottom w:w="0" w:type="dxa"/>
            <w:right w:w="0" w:type="dxa"/>
          </w:tblCellMar>
        </w:tblPrEx>
        <w:trPr>
          <w:trHeight w:val="513" w:hRule="atLeast"/>
          <w:jc w:val="center"/>
        </w:trPr>
        <w:tc>
          <w:tcPr>
            <w:tcW w:w="1512"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6</w:t>
            </w:r>
          </w:p>
        </w:tc>
        <w:tc>
          <w:tcPr>
            <w:tcW w:w="349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80" w:lineRule="exact"/>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装饰石材</w:t>
            </w:r>
          </w:p>
        </w:tc>
        <w:tc>
          <w:tcPr>
            <w:tcW w:w="2700"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20</w:t>
            </w:r>
          </w:p>
        </w:tc>
      </w:tr>
      <w:tr>
        <w:tblPrEx>
          <w:tblLayout w:type="fixed"/>
          <w:tblCellMar>
            <w:top w:w="0" w:type="dxa"/>
            <w:left w:w="0" w:type="dxa"/>
            <w:bottom w:w="0" w:type="dxa"/>
            <w:right w:w="0" w:type="dxa"/>
          </w:tblCellMar>
        </w:tblPrEx>
        <w:trPr>
          <w:trHeight w:val="513" w:hRule="atLeast"/>
          <w:jc w:val="center"/>
        </w:trPr>
        <w:tc>
          <w:tcPr>
            <w:tcW w:w="1512"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7</w:t>
            </w:r>
          </w:p>
        </w:tc>
        <w:tc>
          <w:tcPr>
            <w:tcW w:w="349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80" w:lineRule="exact"/>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门窗</w:t>
            </w:r>
          </w:p>
        </w:tc>
        <w:tc>
          <w:tcPr>
            <w:tcW w:w="2700"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20</w:t>
            </w:r>
          </w:p>
        </w:tc>
      </w:tr>
      <w:tr>
        <w:tblPrEx>
          <w:tblLayout w:type="fixed"/>
          <w:tblCellMar>
            <w:top w:w="0" w:type="dxa"/>
            <w:left w:w="0" w:type="dxa"/>
            <w:bottom w:w="0" w:type="dxa"/>
            <w:right w:w="0" w:type="dxa"/>
          </w:tblCellMar>
        </w:tblPrEx>
        <w:trPr>
          <w:trHeight w:val="508" w:hRule="atLeast"/>
          <w:jc w:val="center"/>
        </w:trPr>
        <w:tc>
          <w:tcPr>
            <w:tcW w:w="1512"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8</w:t>
            </w:r>
          </w:p>
        </w:tc>
        <w:tc>
          <w:tcPr>
            <w:tcW w:w="349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80" w:lineRule="exact"/>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吊项龙骨、幕墙龙骨</w:t>
            </w:r>
          </w:p>
        </w:tc>
        <w:tc>
          <w:tcPr>
            <w:tcW w:w="2700"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1 5</w:t>
            </w:r>
          </w:p>
        </w:tc>
      </w:tr>
      <w:tr>
        <w:tblPrEx>
          <w:tblLayout w:type="fixed"/>
          <w:tblCellMar>
            <w:top w:w="0" w:type="dxa"/>
            <w:left w:w="0" w:type="dxa"/>
            <w:bottom w:w="0" w:type="dxa"/>
            <w:right w:w="0" w:type="dxa"/>
          </w:tblCellMar>
        </w:tblPrEx>
        <w:trPr>
          <w:trHeight w:val="513" w:hRule="atLeast"/>
          <w:jc w:val="center"/>
        </w:trPr>
        <w:tc>
          <w:tcPr>
            <w:tcW w:w="1512"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9</w:t>
            </w:r>
          </w:p>
        </w:tc>
        <w:tc>
          <w:tcPr>
            <w:tcW w:w="349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80" w:lineRule="exact"/>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装饰板材</w:t>
            </w:r>
          </w:p>
        </w:tc>
        <w:tc>
          <w:tcPr>
            <w:tcW w:w="2700"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15</w:t>
            </w:r>
          </w:p>
        </w:tc>
      </w:tr>
      <w:tr>
        <w:tblPrEx>
          <w:tblLayout w:type="fixed"/>
          <w:tblCellMar>
            <w:top w:w="0" w:type="dxa"/>
            <w:left w:w="0" w:type="dxa"/>
            <w:bottom w:w="0" w:type="dxa"/>
            <w:right w:w="0" w:type="dxa"/>
          </w:tblCellMar>
        </w:tblPrEx>
        <w:trPr>
          <w:trHeight w:val="508" w:hRule="atLeast"/>
          <w:jc w:val="center"/>
        </w:trPr>
        <w:tc>
          <w:tcPr>
            <w:tcW w:w="1512"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10</w:t>
            </w:r>
          </w:p>
        </w:tc>
        <w:tc>
          <w:tcPr>
            <w:tcW w:w="349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80" w:lineRule="exact"/>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外墙涂料、防水材料</w:t>
            </w:r>
          </w:p>
        </w:tc>
        <w:tc>
          <w:tcPr>
            <w:tcW w:w="2700"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15</w:t>
            </w:r>
          </w:p>
        </w:tc>
      </w:tr>
      <w:tr>
        <w:tblPrEx>
          <w:tblLayout w:type="fixed"/>
          <w:tblCellMar>
            <w:top w:w="0" w:type="dxa"/>
            <w:left w:w="0" w:type="dxa"/>
            <w:bottom w:w="0" w:type="dxa"/>
            <w:right w:w="0" w:type="dxa"/>
          </w:tblCellMar>
        </w:tblPrEx>
        <w:trPr>
          <w:trHeight w:val="518" w:hRule="atLeast"/>
          <w:jc w:val="center"/>
        </w:trPr>
        <w:tc>
          <w:tcPr>
            <w:tcW w:w="1512"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11</w:t>
            </w:r>
          </w:p>
        </w:tc>
        <w:tc>
          <w:tcPr>
            <w:tcW w:w="349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80" w:lineRule="exact"/>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人行道板及广场方块</w:t>
            </w:r>
          </w:p>
        </w:tc>
        <w:tc>
          <w:tcPr>
            <w:tcW w:w="2700"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10</w:t>
            </w:r>
          </w:p>
        </w:tc>
      </w:tr>
      <w:tr>
        <w:tblPrEx>
          <w:tblLayout w:type="fixed"/>
          <w:tblCellMar>
            <w:top w:w="0" w:type="dxa"/>
            <w:left w:w="0" w:type="dxa"/>
            <w:bottom w:w="0" w:type="dxa"/>
            <w:right w:w="0" w:type="dxa"/>
          </w:tblCellMar>
        </w:tblPrEx>
        <w:trPr>
          <w:trHeight w:val="518" w:hRule="atLeast"/>
          <w:jc w:val="center"/>
        </w:trPr>
        <w:tc>
          <w:tcPr>
            <w:tcW w:w="1512"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12</w:t>
            </w:r>
          </w:p>
        </w:tc>
        <w:tc>
          <w:tcPr>
            <w:tcW w:w="349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80" w:lineRule="exact"/>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沥青及半成品</w:t>
            </w:r>
          </w:p>
        </w:tc>
        <w:tc>
          <w:tcPr>
            <w:tcW w:w="2700"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15</w:t>
            </w:r>
          </w:p>
        </w:tc>
      </w:tr>
      <w:tr>
        <w:tblPrEx>
          <w:tblLayout w:type="fixed"/>
          <w:tblCellMar>
            <w:top w:w="0" w:type="dxa"/>
            <w:left w:w="0" w:type="dxa"/>
            <w:bottom w:w="0" w:type="dxa"/>
            <w:right w:w="0" w:type="dxa"/>
          </w:tblCellMar>
        </w:tblPrEx>
        <w:trPr>
          <w:trHeight w:val="513" w:hRule="atLeast"/>
          <w:jc w:val="center"/>
        </w:trPr>
        <w:tc>
          <w:tcPr>
            <w:tcW w:w="1512"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13</w:t>
            </w:r>
          </w:p>
        </w:tc>
        <w:tc>
          <w:tcPr>
            <w:tcW w:w="349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80" w:lineRule="exact"/>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管材、线缆</w:t>
            </w:r>
          </w:p>
        </w:tc>
        <w:tc>
          <w:tcPr>
            <w:tcW w:w="2700"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20</w:t>
            </w:r>
          </w:p>
        </w:tc>
      </w:tr>
      <w:tr>
        <w:tblPrEx>
          <w:tblLayout w:type="fixed"/>
          <w:tblCellMar>
            <w:top w:w="0" w:type="dxa"/>
            <w:left w:w="0" w:type="dxa"/>
            <w:bottom w:w="0" w:type="dxa"/>
            <w:right w:w="0" w:type="dxa"/>
          </w:tblCellMar>
        </w:tblPrEx>
        <w:trPr>
          <w:trHeight w:val="508" w:hRule="atLeast"/>
          <w:jc w:val="center"/>
        </w:trPr>
        <w:tc>
          <w:tcPr>
            <w:tcW w:w="1512"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14</w:t>
            </w:r>
          </w:p>
        </w:tc>
        <w:tc>
          <w:tcPr>
            <w:tcW w:w="349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80" w:lineRule="exact"/>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阀门、风口</w:t>
            </w:r>
          </w:p>
        </w:tc>
        <w:tc>
          <w:tcPr>
            <w:tcW w:w="2700"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20</w:t>
            </w:r>
          </w:p>
        </w:tc>
      </w:tr>
      <w:tr>
        <w:tblPrEx>
          <w:tblLayout w:type="fixed"/>
          <w:tblCellMar>
            <w:top w:w="0" w:type="dxa"/>
            <w:left w:w="0" w:type="dxa"/>
            <w:bottom w:w="0" w:type="dxa"/>
            <w:right w:w="0" w:type="dxa"/>
          </w:tblCellMar>
        </w:tblPrEx>
        <w:trPr>
          <w:trHeight w:val="518" w:hRule="atLeast"/>
          <w:jc w:val="center"/>
        </w:trPr>
        <w:tc>
          <w:tcPr>
            <w:tcW w:w="1512" w:type="dxa"/>
            <w:tcBorders>
              <w:top w:val="single" w:color="auto" w:sz="8" w:space="0"/>
              <w:left w:val="single" w:color="auto" w:sz="12" w:space="0"/>
              <w:bottom w:val="single" w:color="auto" w:sz="12" w:space="0"/>
              <w:right w:val="single" w:color="auto" w:sz="8"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15</w:t>
            </w:r>
          </w:p>
        </w:tc>
        <w:tc>
          <w:tcPr>
            <w:tcW w:w="3498"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spacing w:line="280" w:lineRule="exact"/>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卫生洁具、灯具</w:t>
            </w:r>
          </w:p>
        </w:tc>
        <w:tc>
          <w:tcPr>
            <w:tcW w:w="2700" w:type="dxa"/>
            <w:tcBorders>
              <w:top w:val="single" w:color="auto" w:sz="8" w:space="0"/>
              <w:left w:val="single" w:color="auto" w:sz="8" w:space="0"/>
              <w:bottom w:val="single" w:color="auto" w:sz="12" w:space="0"/>
              <w:right w:val="single" w:color="auto" w:sz="12" w:space="0"/>
            </w:tcBorders>
            <w:shd w:val="clear" w:color="auto" w:fill="auto"/>
            <w:vAlign w:val="center"/>
          </w:tcPr>
          <w:p>
            <w:pPr>
              <w:widowControl/>
              <w:spacing w:line="280" w:lineRule="exact"/>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2</w:t>
            </w:r>
          </w:p>
        </w:tc>
      </w:tr>
    </w:tbl>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asciiTheme="minorEastAsia" w:hAnsiTheme="minorEastAsia" w:eastAsiaTheme="minorEastAsia"/>
        </w:rPr>
        <w:t xml:space="preserve">   </w:t>
      </w:r>
      <w:r>
        <w:rPr>
          <w:rFonts w:hint="eastAsia" w:cs="Arial" w:asciiTheme="minorEastAsia" w:hAnsiTheme="minorEastAsia" w:eastAsiaTheme="minorEastAsia"/>
          <w:color w:val="000000"/>
          <w:kern w:val="0"/>
          <w:sz w:val="24"/>
          <w:szCs w:val="24"/>
        </w:rPr>
        <w:t xml:space="preserve"> </w:t>
      </w:r>
    </w:p>
    <w:p>
      <w:pPr>
        <w:widowControl/>
        <w:adjustRightInd w:val="0"/>
        <w:snapToGrid w:val="0"/>
        <w:spacing w:line="360" w:lineRule="auto"/>
        <w:ind w:firstLine="480" w:firstLineChars="200"/>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(四)主要机械台班价格。 </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以市建设行政主管部门颁发的工程预算定额(计价定额)的机械费或以《施工机械台班》单价为标准，下浮8％为最低控制线标准。</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(五)企业管理费。</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以市建设行政主管部门颁发的建设工程费用定额规定的企业管理费，下浮l5％为最低控制线标准(注：土石方工程暂不作此项控制)。</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(六)利润。</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投标人最低可按零利润投标报价。</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九、招标人在招标文件中的定价材料，投标人根据招标文件要求按暂定价计入投标报价，不受上述最低控制线的限制。</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十、对可竞争费用最低控制线标准，根据执行情况和市场情况，市建设行政主管部门将不定期调整。</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十一、评标委员会评标时发现投标人的报价明显低于其他投标人的报价、或者在设有标底时明显低于标底、或者发现投标人报价的各组成部分有低于本规定最低控制线标准的，使其投标报价可能低于企业成本时，评标委员会应分析各项费用构成的合理性以及各种证明材料的真实性和有效性，并对投标人进行质询。</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十二、各地建设行政主管部门应加强对低价中标人的建设工程的进度款支付、设计变更及竣工结算情况进行跟踪检查。</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十三、市建设行政主管部门负责全市建设工程合理价格组成及合理低价投标报价的管理工作；日常管理和监督工作由相应监督部门负责。各区、县(自治县)建设行政主管部门按照职责分工负责本地区建设工程合理价格组成及合理低价投标报价的管理和监督工作。</w:t>
      </w:r>
    </w:p>
    <w:p>
      <w:pPr>
        <w:widowControl/>
        <w:adjustRightInd w:val="0"/>
        <w:snapToGrid w:val="0"/>
        <w:spacing w:line="360" w:lineRule="auto"/>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十四、本规定由市建设行政主管部门解释。</w:t>
      </w:r>
    </w:p>
    <w:p>
      <w:r>
        <w:rPr>
          <w:rFonts w:hint="eastAsia" w:cs="Arial" w:asciiTheme="minorEastAsia" w:hAnsiTheme="minorEastAsia" w:eastAsiaTheme="minorEastAsia"/>
          <w:color w:val="000000"/>
          <w:kern w:val="0"/>
          <w:sz w:val="24"/>
          <w:szCs w:val="24"/>
        </w:rPr>
        <w:t xml:space="preserve">    十五、本规定自二OO七年五月一日起执行。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EB6F5A"/>
    <w:rsid w:val="1AEB6F5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2016-09-30T08:06:00Z</dcterms:created>
  <dc:creator>Administrator</dc:creator>
  <cp:lastModifiedBy>Administrator</cp:lastModifiedBy>
  <dcterms:modified xsi:type="dcterms:W3CDTF">2016-09-30T08:06:49Z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