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84"/>
          <w:szCs w:val="84"/>
        </w:rPr>
      </w:pPr>
    </w:p>
    <w:p>
      <w:pPr>
        <w:jc w:val="center"/>
        <w:rPr>
          <w:rFonts w:hint="eastAsia" w:ascii="方正小标宋_GBK" w:hAnsi="宋体" w:eastAsia="方正小标宋_GBK"/>
          <w:sz w:val="84"/>
          <w:szCs w:val="84"/>
          <w:lang w:eastAsia="zh-CN"/>
        </w:rPr>
      </w:pPr>
      <w:r>
        <w:rPr>
          <w:rFonts w:hint="eastAsia" w:ascii="方正小标宋_GBK" w:hAnsi="宋体" w:eastAsia="方正小标宋_GBK"/>
          <w:sz w:val="84"/>
          <w:szCs w:val="84"/>
        </w:rPr>
        <w:t>询价采购文件</w:t>
      </w:r>
      <w:r>
        <w:rPr>
          <w:rFonts w:hint="eastAsia" w:ascii="方正小标宋_GBK" w:hAnsi="宋体" w:eastAsia="方正小标宋_GBK"/>
          <w:sz w:val="84"/>
          <w:szCs w:val="84"/>
          <w:lang w:eastAsia="zh-CN"/>
        </w:rPr>
        <w:t>（二次）</w:t>
      </w:r>
    </w:p>
    <w:p>
      <w:pPr>
        <w:jc w:val="center"/>
        <w:rPr>
          <w:rFonts w:ascii="方正小标宋简体" w:hAnsi="宋体" w:eastAsia="方正小标宋简体"/>
          <w:sz w:val="48"/>
        </w:rPr>
      </w:pPr>
    </w:p>
    <w:p>
      <w:pPr>
        <w:jc w:val="center"/>
        <w:rPr>
          <w:rFonts w:ascii="方正小标宋简体" w:hAnsi="宋体" w:eastAsia="方正小标宋简体"/>
          <w:sz w:val="48"/>
        </w:rPr>
      </w:pPr>
    </w:p>
    <w:p>
      <w:pPr>
        <w:rPr>
          <w:rFonts w:ascii="方正小标宋简体" w:hAnsi="宋体" w:eastAsia="方正小标宋简体"/>
          <w:sz w:val="48"/>
        </w:rPr>
      </w:pPr>
    </w:p>
    <w:p>
      <w:pPr>
        <w:ind w:left="1700" w:leftChars="607"/>
        <w:rPr>
          <w:rFonts w:ascii="方正仿宋_GBK" w:hAnsi="宋体" w:eastAsia="方正仿宋_GBK"/>
          <w:szCs w:val="28"/>
        </w:rPr>
      </w:pPr>
      <w:r>
        <w:rPr>
          <w:rFonts w:hint="eastAsia" w:ascii="方正仿宋_GBK" w:hAnsi="宋体" w:eastAsia="方正仿宋_GBK"/>
          <w:sz w:val="32"/>
          <w:szCs w:val="32"/>
        </w:rPr>
        <w:t>采购项目名称：学生心理危机综合管理系统</w:t>
      </w:r>
      <w:r>
        <w:rPr>
          <w:rFonts w:ascii="方正仿宋_GBK" w:hAnsi="宋体" w:eastAsia="方正仿宋_GBK"/>
          <w:szCs w:val="28"/>
        </w:rPr>
        <w:t xml:space="preserve"> </w:t>
      </w:r>
    </w:p>
    <w:p>
      <w:pPr>
        <w:ind w:firstLine="2240" w:firstLineChars="800"/>
        <w:rPr>
          <w:rFonts w:ascii="方正仿宋_GBK" w:hAnsi="宋体" w:eastAsia="方正仿宋_GBK"/>
          <w:szCs w:val="28"/>
        </w:rPr>
      </w:pPr>
      <w:r>
        <w:rPr>
          <w:rFonts w:hint="eastAsia" w:ascii="方正仿宋_GBK" w:hAnsi="宋体" w:eastAsia="方正仿宋_GBK"/>
          <w:szCs w:val="28"/>
        </w:rPr>
        <w:t>项目编号：</w:t>
      </w:r>
      <w:r>
        <w:rPr>
          <w:rFonts w:hint="eastAsia" w:ascii="方正仿宋_GBK" w:hAnsi="仿宋" w:eastAsia="方正仿宋_GBK"/>
          <w:szCs w:val="28"/>
        </w:rPr>
        <w:t>2756860</w:t>
      </w:r>
    </w:p>
    <w:p>
      <w:pPr>
        <w:rPr>
          <w:rFonts w:ascii="方正小标宋简体" w:hAnsi="宋体" w:eastAsia="方正小标宋简体"/>
          <w:sz w:val="48"/>
        </w:rPr>
      </w:pPr>
    </w:p>
    <w:p>
      <w:pPr>
        <w:rPr>
          <w:rFonts w:ascii="方正小标宋简体" w:hAnsi="宋体" w:eastAsia="方正小标宋简体"/>
          <w:sz w:val="48"/>
        </w:rPr>
      </w:pPr>
    </w:p>
    <w:p>
      <w:pPr>
        <w:rPr>
          <w:rFonts w:ascii="方正小标宋简体" w:hAnsi="宋体" w:eastAsia="方正小标宋简体"/>
          <w:sz w:val="48"/>
        </w:rPr>
      </w:pPr>
    </w:p>
    <w:p>
      <w:pPr>
        <w:jc w:val="center"/>
        <w:rPr>
          <w:rFonts w:ascii="方正小标宋_GBK" w:hAnsi="方正小标宋_GBK" w:eastAsia="方正小标宋_GBK"/>
          <w:sz w:val="36"/>
          <w:szCs w:val="36"/>
        </w:rPr>
      </w:pPr>
      <w:r>
        <w:rPr>
          <w:rFonts w:hint="eastAsia" w:ascii="方正小标宋_GBK" w:hAnsi="方正小标宋_GBK" w:eastAsia="方正小标宋_GBK"/>
          <w:sz w:val="36"/>
          <w:szCs w:val="36"/>
        </w:rPr>
        <w:t>重庆第二师范学院</w:t>
      </w:r>
    </w:p>
    <w:p>
      <w:pPr>
        <w:jc w:val="center"/>
        <w:rPr>
          <w:rFonts w:ascii="方正小标宋_GBK" w:hAnsi="方正小标宋_GBK" w:eastAsia="方正小标宋_GBK"/>
          <w:sz w:val="36"/>
          <w:szCs w:val="36"/>
        </w:rPr>
      </w:pPr>
      <w:r>
        <w:rPr>
          <w:rFonts w:ascii="方正小标宋_GBK" w:hAnsi="方正小标宋_GBK" w:eastAsia="方正小标宋_GBK"/>
          <w:sz w:val="36"/>
          <w:szCs w:val="36"/>
        </w:rPr>
        <w:t>20</w:t>
      </w:r>
      <w:r>
        <w:rPr>
          <w:rFonts w:hint="eastAsia" w:ascii="方正小标宋_GBK" w:hAnsi="方正小标宋_GBK" w:eastAsia="方正小标宋_GBK"/>
          <w:sz w:val="36"/>
          <w:szCs w:val="36"/>
          <w:lang w:val="en-US" w:eastAsia="zh-CN"/>
        </w:rPr>
        <w:t>18</w:t>
      </w:r>
      <w:r>
        <w:rPr>
          <w:rFonts w:hint="eastAsia" w:ascii="方正小标宋_GBK" w:hAnsi="方正小标宋_GBK" w:eastAsia="方正小标宋_GBK"/>
          <w:sz w:val="36"/>
          <w:szCs w:val="36"/>
        </w:rPr>
        <w:t>年</w:t>
      </w:r>
      <w:r>
        <w:rPr>
          <w:rFonts w:hint="eastAsia" w:ascii="方正小标宋_GBK" w:hAnsi="方正小标宋_GBK" w:eastAsia="方正小标宋_GBK"/>
          <w:sz w:val="36"/>
          <w:szCs w:val="36"/>
          <w:lang w:val="en-US" w:eastAsia="zh-CN"/>
        </w:rPr>
        <w:t>10</w:t>
      </w:r>
      <w:r>
        <w:rPr>
          <w:rFonts w:hint="eastAsia" w:ascii="方正小标宋_GBK" w:hAnsi="方正小标宋_GBK" w:eastAsia="方正小标宋_GBK"/>
          <w:sz w:val="36"/>
          <w:szCs w:val="36"/>
        </w:rPr>
        <w:t>月</w:t>
      </w:r>
    </w:p>
    <w:p/>
    <w:p/>
    <w:p/>
    <w:p/>
    <w:p/>
    <w:p/>
    <w:p/>
    <w:p/>
    <w:p/>
    <w:p/>
    <w:p>
      <w:pPr>
        <w:jc w:val="center"/>
        <w:rPr>
          <w:rFonts w:ascii="方正小标宋_GBK" w:hAnsi="仿宋" w:eastAsia="方正小标宋_GBK"/>
          <w:b/>
          <w:sz w:val="44"/>
          <w:szCs w:val="44"/>
        </w:rPr>
      </w:pPr>
      <w:r>
        <w:rPr>
          <w:rFonts w:hint="eastAsia" w:ascii="方正小标宋_GBK" w:hAnsi="仿宋" w:eastAsia="方正小标宋_GBK"/>
          <w:b/>
          <w:sz w:val="44"/>
          <w:szCs w:val="44"/>
        </w:rPr>
        <w:t>招标公告</w:t>
      </w:r>
    </w:p>
    <w:p>
      <w:pPr>
        <w:spacing w:line="520" w:lineRule="exact"/>
        <w:ind w:firstLine="560" w:firstLineChars="200"/>
        <w:rPr>
          <w:rFonts w:ascii="方正仿宋_GBK" w:hAnsi="仿宋" w:eastAsia="方正仿宋_GBK"/>
          <w:szCs w:val="28"/>
        </w:rPr>
      </w:pPr>
      <w:r>
        <w:rPr>
          <w:rFonts w:hint="eastAsia" w:ascii="方正仿宋_GBK" w:hAnsi="仿宋" w:eastAsia="方正仿宋_GBK"/>
          <w:szCs w:val="28"/>
        </w:rPr>
        <w:t>项目名称：重庆第二师范学院学生管理信息系统采购</w:t>
      </w:r>
    </w:p>
    <w:p>
      <w:pPr>
        <w:spacing w:line="520" w:lineRule="exact"/>
        <w:ind w:firstLine="560" w:firstLineChars="200"/>
        <w:rPr>
          <w:rFonts w:ascii="方正仿宋_GBK" w:hAnsi="宋体" w:eastAsia="方正仿宋_GBK"/>
          <w:szCs w:val="28"/>
        </w:rPr>
      </w:pPr>
      <w:r>
        <w:rPr>
          <w:rFonts w:hint="eastAsia" w:ascii="方正仿宋_GBK" w:hAnsi="仿宋" w:eastAsia="方正仿宋_GBK"/>
          <w:szCs w:val="28"/>
        </w:rPr>
        <w:t>项目编号：2756860</w:t>
      </w:r>
    </w:p>
    <w:p>
      <w:pPr>
        <w:spacing w:line="520" w:lineRule="exact"/>
        <w:ind w:firstLine="560" w:firstLineChars="200"/>
        <w:rPr>
          <w:rFonts w:ascii="方正仿宋_GBK" w:hAnsi="仿宋" w:eastAsia="方正仿宋_GBK"/>
          <w:szCs w:val="28"/>
        </w:rPr>
      </w:pPr>
      <w:r>
        <w:rPr>
          <w:rFonts w:hint="eastAsia" w:ascii="方正仿宋_GBK" w:hAnsi="仿宋" w:eastAsia="方正仿宋_GBK"/>
          <w:szCs w:val="28"/>
        </w:rPr>
        <w:t>重庆第二师范学院学生心理危机综合管理系统，欢迎有相关资质的供应商参与。</w:t>
      </w:r>
    </w:p>
    <w:p>
      <w:pPr>
        <w:pStyle w:val="3"/>
        <w:keepNext w:val="0"/>
        <w:keepLines w:val="0"/>
        <w:spacing w:line="400" w:lineRule="exact"/>
        <w:ind w:firstLine="560" w:firstLineChars="200"/>
        <w:rPr>
          <w:rFonts w:ascii="仿宋" w:hAnsi="仿宋" w:eastAsia="仿宋"/>
          <w:szCs w:val="28"/>
        </w:rPr>
      </w:pPr>
      <w:r>
        <w:rPr>
          <w:rFonts w:hint="eastAsia" w:ascii="方正仿宋_GBK" w:hAnsi="仿宋" w:eastAsia="方正仿宋_GBK"/>
          <w:b w:val="0"/>
          <w:sz w:val="28"/>
          <w:szCs w:val="28"/>
        </w:rPr>
        <w:t>一、</w:t>
      </w:r>
      <w:r>
        <w:rPr>
          <w:rFonts w:hint="eastAsia" w:ascii="仿宋" w:hAnsi="仿宋" w:eastAsia="仿宋"/>
          <w:szCs w:val="28"/>
        </w:rPr>
        <w:t>招标项目内容</w:t>
      </w:r>
    </w:p>
    <w:tbl>
      <w:tblPr>
        <w:tblStyle w:val="18"/>
        <w:tblW w:w="9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449"/>
        <w:gridCol w:w="170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pStyle w:val="9"/>
              <w:spacing w:line="400" w:lineRule="exact"/>
              <w:ind w:left="0"/>
              <w:jc w:val="center"/>
              <w:outlineLvl w:val="0"/>
              <w:rPr>
                <w:rFonts w:ascii="仿宋" w:hAnsi="仿宋" w:eastAsia="仿宋"/>
                <w:b/>
                <w:sz w:val="28"/>
                <w:szCs w:val="28"/>
              </w:rPr>
            </w:pPr>
            <w:r>
              <w:rPr>
                <w:rFonts w:hint="eastAsia" w:ascii="仿宋" w:hAnsi="仿宋" w:eastAsia="仿宋"/>
                <w:b/>
                <w:sz w:val="28"/>
                <w:szCs w:val="28"/>
              </w:rPr>
              <w:t>分包</w:t>
            </w:r>
          </w:p>
        </w:tc>
        <w:tc>
          <w:tcPr>
            <w:tcW w:w="4449" w:type="dxa"/>
            <w:vAlign w:val="center"/>
          </w:tcPr>
          <w:p>
            <w:pPr>
              <w:pStyle w:val="9"/>
              <w:spacing w:line="400" w:lineRule="exact"/>
              <w:ind w:left="0"/>
              <w:jc w:val="center"/>
              <w:outlineLvl w:val="0"/>
              <w:rPr>
                <w:rFonts w:ascii="仿宋" w:hAnsi="仿宋" w:eastAsia="仿宋"/>
                <w:b/>
                <w:sz w:val="28"/>
                <w:szCs w:val="28"/>
              </w:rPr>
            </w:pPr>
            <w:r>
              <w:rPr>
                <w:rFonts w:hint="eastAsia" w:ascii="仿宋" w:hAnsi="仿宋" w:eastAsia="仿宋"/>
                <w:b/>
                <w:sz w:val="28"/>
                <w:szCs w:val="28"/>
              </w:rPr>
              <w:t>名称</w:t>
            </w:r>
          </w:p>
        </w:tc>
        <w:tc>
          <w:tcPr>
            <w:tcW w:w="1701" w:type="dxa"/>
            <w:vAlign w:val="center"/>
          </w:tcPr>
          <w:p>
            <w:pPr>
              <w:pStyle w:val="9"/>
              <w:spacing w:line="400" w:lineRule="exact"/>
              <w:ind w:left="0"/>
              <w:jc w:val="center"/>
              <w:outlineLvl w:val="0"/>
              <w:rPr>
                <w:rFonts w:ascii="仿宋" w:hAnsi="仿宋" w:eastAsia="仿宋"/>
                <w:b/>
                <w:sz w:val="28"/>
                <w:szCs w:val="28"/>
              </w:rPr>
            </w:pPr>
            <w:r>
              <w:rPr>
                <w:rFonts w:hint="eastAsia" w:ascii="仿宋" w:hAnsi="仿宋" w:eastAsia="仿宋"/>
                <w:b/>
                <w:sz w:val="28"/>
                <w:szCs w:val="28"/>
              </w:rPr>
              <w:t>最高限价</w:t>
            </w:r>
          </w:p>
          <w:p>
            <w:pPr>
              <w:pStyle w:val="9"/>
              <w:spacing w:line="400" w:lineRule="exact"/>
              <w:ind w:left="0"/>
              <w:jc w:val="center"/>
              <w:outlineLvl w:val="0"/>
              <w:rPr>
                <w:rFonts w:ascii="仿宋" w:hAnsi="仿宋" w:eastAsia="仿宋"/>
                <w:b/>
                <w:sz w:val="28"/>
                <w:szCs w:val="28"/>
              </w:rPr>
            </w:pPr>
            <w:r>
              <w:rPr>
                <w:rFonts w:hint="eastAsia" w:ascii="仿宋" w:hAnsi="仿宋" w:eastAsia="仿宋"/>
                <w:b/>
                <w:sz w:val="28"/>
                <w:szCs w:val="28"/>
              </w:rPr>
              <w:t>（万元）</w:t>
            </w:r>
          </w:p>
        </w:tc>
        <w:tc>
          <w:tcPr>
            <w:tcW w:w="1377" w:type="dxa"/>
            <w:vAlign w:val="center"/>
          </w:tcPr>
          <w:p>
            <w:pPr>
              <w:pStyle w:val="9"/>
              <w:spacing w:line="400" w:lineRule="exact"/>
              <w:ind w:left="0"/>
              <w:jc w:val="center"/>
              <w:outlineLvl w:val="0"/>
              <w:rPr>
                <w:rFonts w:ascii="仿宋" w:hAnsi="仿宋" w:eastAsia="仿宋"/>
                <w:b/>
                <w:sz w:val="28"/>
                <w:szCs w:val="28"/>
              </w:rPr>
            </w:pPr>
            <w:r>
              <w:rPr>
                <w:rFonts w:hint="eastAsia" w:ascii="仿宋" w:hAnsi="仿宋" w:eastAsia="仿宋"/>
                <w:b/>
                <w:sz w:val="28"/>
                <w:szCs w:val="28"/>
              </w:rPr>
              <w:t>备注</w:t>
            </w:r>
          </w:p>
          <w:p>
            <w:pPr>
              <w:pStyle w:val="9"/>
              <w:spacing w:line="400" w:lineRule="exact"/>
              <w:ind w:left="0"/>
              <w:jc w:val="center"/>
              <w:outlineLvl w:val="0"/>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668" w:type="dxa"/>
            <w:vAlign w:val="center"/>
          </w:tcPr>
          <w:p>
            <w:pPr>
              <w:pStyle w:val="8"/>
              <w:spacing w:line="400" w:lineRule="exact"/>
              <w:ind w:firstLine="0"/>
              <w:jc w:val="center"/>
              <w:outlineLvl w:val="0"/>
              <w:rPr>
                <w:rFonts w:ascii="仿宋" w:hAnsi="仿宋" w:eastAsia="仿宋"/>
                <w:sz w:val="28"/>
                <w:szCs w:val="28"/>
              </w:rPr>
            </w:pPr>
            <w:r>
              <w:rPr>
                <w:rFonts w:ascii="仿宋" w:hAnsi="仿宋" w:eastAsia="仿宋"/>
                <w:sz w:val="28"/>
                <w:szCs w:val="28"/>
              </w:rPr>
              <w:t>1</w:t>
            </w:r>
          </w:p>
        </w:tc>
        <w:tc>
          <w:tcPr>
            <w:tcW w:w="4449" w:type="dxa"/>
            <w:vAlign w:val="center"/>
          </w:tcPr>
          <w:p>
            <w:pPr>
              <w:pStyle w:val="8"/>
              <w:spacing w:line="400" w:lineRule="exact"/>
              <w:ind w:firstLine="0"/>
              <w:jc w:val="center"/>
              <w:outlineLvl w:val="0"/>
              <w:rPr>
                <w:rFonts w:ascii="仿宋" w:hAnsi="仿宋" w:eastAsia="仿宋"/>
                <w:sz w:val="28"/>
                <w:szCs w:val="28"/>
              </w:rPr>
            </w:pPr>
            <w:r>
              <w:rPr>
                <w:rFonts w:hint="eastAsia" w:ascii="方正仿宋_GBK" w:hAnsi="宋体" w:eastAsia="方正仿宋_GBK"/>
                <w:sz w:val="32"/>
                <w:szCs w:val="32"/>
              </w:rPr>
              <w:t>学生心理危机综合管理系统</w:t>
            </w:r>
          </w:p>
        </w:tc>
        <w:tc>
          <w:tcPr>
            <w:tcW w:w="1701" w:type="dxa"/>
            <w:vAlign w:val="center"/>
          </w:tcPr>
          <w:p>
            <w:pPr>
              <w:pStyle w:val="9"/>
              <w:spacing w:line="400" w:lineRule="exact"/>
              <w:ind w:left="0"/>
              <w:jc w:val="center"/>
              <w:outlineLvl w:val="0"/>
              <w:rPr>
                <w:rFonts w:ascii="仿宋" w:hAnsi="仿宋" w:eastAsia="仿宋"/>
                <w:sz w:val="28"/>
                <w:szCs w:val="28"/>
              </w:rPr>
            </w:pPr>
            <w:r>
              <w:rPr>
                <w:rFonts w:hint="eastAsia" w:ascii="仿宋" w:hAnsi="仿宋" w:eastAsia="仿宋"/>
                <w:sz w:val="28"/>
                <w:szCs w:val="28"/>
              </w:rPr>
              <w:t>12</w:t>
            </w:r>
          </w:p>
        </w:tc>
        <w:tc>
          <w:tcPr>
            <w:tcW w:w="1377" w:type="dxa"/>
          </w:tcPr>
          <w:p>
            <w:pPr>
              <w:pStyle w:val="8"/>
              <w:spacing w:line="400" w:lineRule="exact"/>
              <w:ind w:firstLine="0"/>
              <w:outlineLvl w:val="0"/>
              <w:rPr>
                <w:rFonts w:ascii="仿宋" w:hAnsi="仿宋" w:eastAsia="仿宋"/>
                <w:sz w:val="28"/>
                <w:szCs w:val="28"/>
              </w:rPr>
            </w:pPr>
          </w:p>
        </w:tc>
      </w:tr>
    </w:tbl>
    <w:p>
      <w:pPr>
        <w:pStyle w:val="3"/>
        <w:keepNext w:val="0"/>
        <w:keepLines w:val="0"/>
        <w:adjustRightInd w:val="0"/>
        <w:spacing w:before="0" w:after="0" w:line="500" w:lineRule="exact"/>
        <w:rPr>
          <w:rFonts w:ascii="仿宋" w:hAnsi="仿宋" w:eastAsia="仿宋"/>
          <w:szCs w:val="28"/>
        </w:rPr>
      </w:pPr>
      <w:bookmarkStart w:id="0" w:name="_Toc422993986"/>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二、详细技术参数</w:t>
      </w:r>
      <w:bookmarkEnd w:id="0"/>
      <w:r>
        <w:rPr>
          <w:rFonts w:hint="eastAsia" w:ascii="方正仿宋_GBK" w:hAnsi="仿宋" w:eastAsia="方正仿宋_GBK"/>
          <w:b w:val="0"/>
          <w:sz w:val="28"/>
          <w:szCs w:val="28"/>
        </w:rPr>
        <w:t>及服务要求</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1概述</w:t>
      </w:r>
    </w:p>
    <w:p>
      <w:pPr>
        <w:ind w:firstLine="420" w:firstLineChars="150"/>
        <w:rPr>
          <w:b/>
        </w:rPr>
      </w:pPr>
      <w:r>
        <w:rPr>
          <w:rFonts w:hint="eastAsia"/>
        </w:rPr>
        <w:t>学生心理危机综合管理系统是服务于学校心理中心，面向学生提供的心理管理系统，聚焦于心理危机干预管理和心理咨询的日常管理工作。主要解决学校和教师管理大学生心理健康状况的教学实务。系统包括人员管理、危机干预、测评中心、咨询中心、档案中心（学生心理档案、心理中心工作档案）、拓展辅导（团体心理辅导）、文章管理七</w:t>
      </w:r>
      <w:r>
        <w:t>大模块</w:t>
      </w:r>
      <w:r>
        <w:rPr>
          <w:rFonts w:hint="eastAsia"/>
        </w:rPr>
        <w:t>，并可与教务处系统实现单点登录和数据对接，形成全校师生心理大数据中心。</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2系统运行要求</w:t>
      </w:r>
    </w:p>
    <w:p>
      <w:pPr>
        <w:ind w:firstLine="560" w:firstLineChars="200"/>
        <w:rPr>
          <w:b/>
        </w:rPr>
      </w:pPr>
      <w:r>
        <w:rPr>
          <w:rFonts w:hint="eastAsia"/>
        </w:rPr>
        <w:t>系统采用B/S架构，分为学生端和管理员端。学生端为统一界面，管理员端分为超级管理员和一般管理员，一般管理员的权限需要超级管理员根据其负责的工作范围进行有针对性的授权。</w:t>
      </w:r>
    </w:p>
    <w:p>
      <w:pPr>
        <w:ind w:firstLine="420" w:firstLineChars="150"/>
      </w:pPr>
      <w:r>
        <w:rPr>
          <w:rFonts w:hint="eastAsia"/>
        </w:rPr>
        <w:t>系统可提供平台版，由厂家总部进行统一的免费服务器托管，用户端只需要外网就可以登录管理系统。可实现电脑端、手机微信端等不同的登录方式。</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3各个模块功能介绍</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highlight w:val="green"/>
        </w:rPr>
        <w:t>3.1心理测评</w:t>
      </w:r>
      <w:r>
        <w:rPr>
          <w:rFonts w:ascii="方正仿宋_GBK" w:hAnsi="仿宋" w:eastAsia="方正仿宋_GBK"/>
          <w:b w:val="0"/>
          <w:sz w:val="28"/>
          <w:szCs w:val="28"/>
          <w:highlight w:val="green"/>
        </w:rPr>
        <w:t>中心</w:t>
      </w:r>
    </w:p>
    <w:p/>
    <w:p>
      <w:pPr>
        <w:ind w:firstLine="560" w:firstLineChars="200"/>
      </w:pPr>
      <w:r>
        <w:rPr>
          <w:rFonts w:hint="eastAsia"/>
        </w:rPr>
        <w:t>系统量表包含认识自我、职业能力与兴趣、心理健康、学习能力、抑郁与焦虑、冢庭功能与亲子关系、人际关系、应激等类型量表等</w:t>
      </w:r>
      <w:r>
        <w:t>不少于</w:t>
      </w:r>
      <w:r>
        <w:rPr>
          <w:rFonts w:hint="eastAsia"/>
        </w:rPr>
        <w:t>60套</w:t>
      </w:r>
      <w:r>
        <w:t>量表。</w:t>
      </w:r>
      <w:r>
        <w:rPr>
          <w:rFonts w:hint="eastAsia"/>
        </w:rPr>
        <w:t>并支持</w:t>
      </w:r>
      <w:r>
        <w:t>用户自行编制量表导入系统。</w:t>
      </w:r>
      <w:r>
        <w:rPr>
          <w:rFonts w:hint="eastAsia"/>
        </w:rPr>
        <w:t>测试后有</w:t>
      </w:r>
      <w:r>
        <w:t>测试结果预警功能。</w:t>
      </w:r>
    </w:p>
    <w:p>
      <w:pPr>
        <w:pStyle w:val="3"/>
        <w:keepNext w:val="0"/>
        <w:keepLines w:val="0"/>
        <w:spacing w:line="400" w:lineRule="exact"/>
        <w:ind w:firstLine="560" w:firstLineChars="200"/>
        <w:rPr>
          <w:rFonts w:ascii="方正仿宋_GBK" w:hAnsi="仿宋" w:eastAsia="方正仿宋_GBK"/>
          <w:b w:val="0"/>
          <w:sz w:val="28"/>
          <w:szCs w:val="28"/>
          <w:highlight w:val="green"/>
        </w:rPr>
      </w:pPr>
      <w:r>
        <w:rPr>
          <w:rFonts w:hint="eastAsia" w:ascii="方正仿宋_GBK" w:hAnsi="仿宋" w:eastAsia="方正仿宋_GBK"/>
          <w:b w:val="0"/>
          <w:sz w:val="28"/>
          <w:szCs w:val="28"/>
          <w:highlight w:val="green"/>
        </w:rPr>
        <w:t>3.</w:t>
      </w:r>
      <w:r>
        <w:rPr>
          <w:rFonts w:ascii="方正仿宋_GBK" w:hAnsi="仿宋" w:eastAsia="方正仿宋_GBK"/>
          <w:b w:val="0"/>
          <w:sz w:val="28"/>
          <w:szCs w:val="28"/>
          <w:highlight w:val="green"/>
        </w:rPr>
        <w:t>2</w:t>
      </w:r>
      <w:r>
        <w:rPr>
          <w:rFonts w:hint="eastAsia" w:ascii="方正仿宋_GBK" w:hAnsi="仿宋" w:eastAsia="方正仿宋_GBK"/>
          <w:b w:val="0"/>
          <w:sz w:val="28"/>
          <w:szCs w:val="28"/>
          <w:highlight w:val="green"/>
        </w:rPr>
        <w:t>学生在线危机筛查与评估</w:t>
      </w:r>
    </w:p>
    <w:p>
      <w:r>
        <w:rPr>
          <w:rFonts w:hint="eastAsia"/>
        </w:rPr>
        <w:t>★系统是整个心理危机预防、筛查、干预和善后处理的完整危机事件管理过程全覆盖。具体</w:t>
      </w:r>
      <w:r>
        <w:t>流程包括：</w:t>
      </w:r>
    </w:p>
    <w:p>
      <w:pPr>
        <w:ind w:firstLine="560" w:firstLineChars="200"/>
      </w:pPr>
      <w:r>
        <w:rPr>
          <w:rFonts w:hint="eastAsia"/>
        </w:rPr>
        <w:t>一</w:t>
      </w:r>
      <w:r>
        <w:t>、</w:t>
      </w:r>
      <w:r>
        <w:rPr>
          <w:rFonts w:hint="eastAsia"/>
        </w:rPr>
        <w:t>潜在</w:t>
      </w:r>
      <w:r>
        <w:t>风险评估：</w:t>
      </w:r>
      <w:r>
        <w:rPr>
          <w:rFonts w:hint="eastAsia"/>
        </w:rPr>
        <w:t>从童年经历、家庭功能、家庭经济情况、药物滥用、个人精神疾病史、家族自杀史、个人自杀未遂经历、应激生活事件、社会支持、抑郁等方面测查个体已经客观存在的风险因素，从而来评估其自杀的潜在风险水平，测量题目不超过100条。</w:t>
      </w:r>
    </w:p>
    <w:p>
      <w:pPr>
        <w:ind w:firstLine="560" w:firstLineChars="200"/>
      </w:pPr>
      <w:r>
        <w:rPr>
          <w:rFonts w:hint="eastAsia"/>
        </w:rPr>
        <w:t>二</w:t>
      </w:r>
      <w:r>
        <w:t>、</w:t>
      </w:r>
      <w:r>
        <w:rPr>
          <w:rFonts w:hint="eastAsia"/>
        </w:rPr>
        <w:t>根据潜在风险评估结果自动提供当前自杀风险评估。</w:t>
      </w:r>
    </w:p>
    <w:p>
      <w:pPr>
        <w:ind w:firstLine="560" w:firstLineChars="200"/>
      </w:pPr>
      <w:r>
        <w:rPr>
          <w:rFonts w:hint="eastAsia"/>
        </w:rPr>
        <w:t>三</w:t>
      </w:r>
      <w:r>
        <w:t>、</w:t>
      </w:r>
      <w:r>
        <w:rPr>
          <w:rFonts w:hint="eastAsia"/>
        </w:rPr>
        <w:t>对于当前自杀倾向得分比较高的个体，由学校心理老师对其进行一对一的鉴别诊断。</w:t>
      </w:r>
    </w:p>
    <w:p>
      <w:pPr>
        <w:ind w:firstLine="560" w:firstLineChars="200"/>
      </w:pPr>
      <w:r>
        <w:rPr>
          <w:rFonts w:hint="eastAsia"/>
        </w:rPr>
        <w:t>四</w:t>
      </w:r>
      <w:r>
        <w:t>、</w:t>
      </w:r>
      <w:r>
        <w:rPr>
          <w:rFonts w:hint="eastAsia"/>
        </w:rPr>
        <w:t>个案追踪机制：有权限的管理员通过系统可对各级评估筛查出的重点关注人群进行追踪，及时记录最新状况。</w:t>
      </w:r>
    </w:p>
    <w:p>
      <w:pPr>
        <w:ind w:firstLine="560" w:firstLineChars="200"/>
      </w:pPr>
      <w:r>
        <w:rPr>
          <w:rFonts w:hint="eastAsia"/>
        </w:rPr>
        <w:t>五、</w:t>
      </w:r>
      <w:r>
        <w:t>生活事件动态评估：</w:t>
      </w:r>
      <w:r>
        <w:rPr>
          <w:rFonts w:hint="eastAsia"/>
        </w:rPr>
        <w:t>生活事件动态评估可由班级干部、学生骨干等及时记录学生状态，系统将对这些日常行为进行加权评分，生成潜在风险重评级别，形成完整的危机干预动态评估流程。</w:t>
      </w:r>
    </w:p>
    <w:p>
      <w:pPr>
        <w:ind w:firstLine="560" w:firstLineChars="200"/>
      </w:pPr>
      <w:r>
        <w:rPr>
          <w:rFonts w:hint="eastAsia"/>
        </w:rPr>
        <w:t>六、自杀应急</w:t>
      </w:r>
      <w:r>
        <w:t>管理：提供</w:t>
      </w:r>
      <w:r>
        <w:rPr>
          <w:rFonts w:hint="eastAsia"/>
        </w:rPr>
        <w:t>包括预警触发、安全计划、危机预防小组建设、环境安全管理、应对策略指导方面的功能。</w:t>
      </w:r>
    </w:p>
    <w:p>
      <w:pPr>
        <w:ind w:firstLine="560" w:firstLineChars="200"/>
      </w:pPr>
      <w:r>
        <w:rPr>
          <w:rFonts w:hint="eastAsia"/>
        </w:rPr>
        <w:t>七、自杀</w:t>
      </w:r>
      <w:r>
        <w:t>后管理：</w:t>
      </w:r>
      <w:r>
        <w:rPr>
          <w:rFonts w:hint="eastAsia"/>
        </w:rPr>
        <w:t>如果发生自杀，心理工作者需要了解导致自杀的事件、死亡因素、精神疾病治疗过程，以及制定计划以改善日后预防措施及一系列的工作总结记录。具体包括个案总结、</w:t>
      </w:r>
      <w:r>
        <w:t>小组晤谈、咨询师保护。</w:t>
      </w:r>
    </w:p>
    <w:p>
      <w:r>
        <w:rPr>
          <w:rFonts w:hint="eastAsia"/>
        </w:rPr>
        <w:t>★为了</w:t>
      </w:r>
      <w:r>
        <w:t>证明该</w:t>
      </w:r>
      <w:r>
        <w:rPr>
          <w:rFonts w:hint="eastAsia"/>
        </w:rPr>
        <w:t>危机筛查</w:t>
      </w:r>
      <w:r>
        <w:t>体系的科学性和有效性：</w:t>
      </w:r>
      <w:r>
        <w:rPr>
          <w:rFonts w:hint="eastAsia"/>
        </w:rPr>
        <w:t>需提供经过核心期刊发表的危机干预量表文献，并提供第三方青少年自杀倾向量表信效度检验证明加盖公章。</w:t>
      </w:r>
    </w:p>
    <w:p>
      <w:pPr>
        <w:pStyle w:val="3"/>
        <w:keepNext w:val="0"/>
        <w:keepLines w:val="0"/>
        <w:spacing w:line="400" w:lineRule="exact"/>
        <w:ind w:firstLine="560" w:firstLineChars="200"/>
        <w:rPr>
          <w:rFonts w:ascii="方正仿宋_GBK" w:hAnsi="仿宋" w:eastAsia="方正仿宋_GBK"/>
          <w:b w:val="0"/>
          <w:sz w:val="28"/>
          <w:szCs w:val="28"/>
          <w:highlight w:val="green"/>
        </w:rPr>
      </w:pPr>
      <w:r>
        <w:rPr>
          <w:rFonts w:hint="eastAsia" w:ascii="方正仿宋_GBK" w:hAnsi="仿宋" w:eastAsia="方正仿宋_GBK"/>
          <w:b w:val="0"/>
          <w:sz w:val="28"/>
          <w:szCs w:val="28"/>
          <w:highlight w:val="green"/>
        </w:rPr>
        <w:t>3.</w:t>
      </w:r>
      <w:r>
        <w:rPr>
          <w:rFonts w:ascii="方正仿宋_GBK" w:hAnsi="仿宋" w:eastAsia="方正仿宋_GBK"/>
          <w:b w:val="0"/>
          <w:sz w:val="28"/>
          <w:szCs w:val="28"/>
          <w:highlight w:val="green"/>
        </w:rPr>
        <w:t>3</w:t>
      </w:r>
      <w:r>
        <w:rPr>
          <w:rFonts w:hint="eastAsia" w:ascii="方正仿宋_GBK" w:hAnsi="仿宋" w:eastAsia="方正仿宋_GBK"/>
          <w:b w:val="0"/>
          <w:sz w:val="28"/>
          <w:szCs w:val="28"/>
          <w:highlight w:val="green"/>
        </w:rPr>
        <w:t>在线心理咨询</w:t>
      </w:r>
    </w:p>
    <w:p>
      <w:r>
        <w:rPr>
          <w:rFonts w:hint="eastAsia"/>
        </w:rPr>
        <w:t>一、咨询管理：</w:t>
      </w:r>
    </w:p>
    <w:p>
      <w:pPr>
        <w:ind w:firstLine="560" w:firstLineChars="200"/>
      </w:pPr>
      <w:r>
        <w:rPr>
          <w:rFonts w:hint="eastAsia"/>
        </w:rPr>
        <w:t>完整的预约咨询管理体系，可预设测评量表，提前了解预约学生的心理情况；咨询中心排班功能，可根据实际工作情况由管理员设置忙碌状态并支持短信通知学生；咨询记录表支持图片上传，便捷关联学生的基本信息、测试信息等，完成咨询后支持学生反馈评价，有咨询师转介功能。</w:t>
      </w:r>
    </w:p>
    <w:p>
      <w:r>
        <w:rPr>
          <w:rFonts w:hint="eastAsia"/>
        </w:rPr>
        <w:t>★为了保证预约的有效性，设置学生与咨询师预约过程中进行双向确认，由各个颜色代表，绿色代表没有预约，空闲时段；蓝色代表有人预约，尚未处理；橙色代表老师确认，学生未确认。学生页面需要确认；确认后呈现红色背景即表示双方都确认。</w:t>
      </w:r>
    </w:p>
    <w:p>
      <w:r>
        <w:rPr>
          <w:rFonts w:hint="eastAsia"/>
        </w:rPr>
        <w:t>★为了学生能有更好的咨询体验，系统设置了首诊咨询师负责制，学生首次预约咨询结束后，再次预约能自动归属到第一次的咨询师。</w:t>
      </w:r>
    </w:p>
    <w:p>
      <w:pPr>
        <w:ind w:firstLine="420" w:firstLineChars="150"/>
      </w:pPr>
      <w:r>
        <w:rPr>
          <w:rFonts w:hint="eastAsia"/>
        </w:rPr>
        <w:t>为</w:t>
      </w:r>
      <w:r>
        <w:t>了让学生</w:t>
      </w:r>
      <w:r>
        <w:rPr>
          <w:rFonts w:hint="eastAsia"/>
        </w:rPr>
        <w:t>认真</w:t>
      </w:r>
      <w:r>
        <w:t>对待</w:t>
      </w:r>
      <w:r>
        <w:rPr>
          <w:rFonts w:hint="eastAsia"/>
        </w:rPr>
        <w:t>，珍惜</w:t>
      </w:r>
      <w:r>
        <w:t>心理咨询的机会，</w:t>
      </w:r>
      <w:r>
        <w:rPr>
          <w:rFonts w:hint="eastAsia"/>
        </w:rPr>
        <w:t>可以</w:t>
      </w:r>
      <w:r>
        <w:t>设置</w:t>
      </w:r>
      <w:r>
        <w:rPr>
          <w:rFonts w:hint="eastAsia"/>
        </w:rPr>
        <w:t>本学期/年咨询次数超过__次后需申请且被同意后才可进行再次预约”关联；超过咨询次数后学生需填写申请，由管理员同意后方可再次预约。</w:t>
      </w:r>
    </w:p>
    <w:p>
      <w:r>
        <w:rPr>
          <w:rFonts w:hint="eastAsia"/>
        </w:rPr>
        <w:t>二、访谈管理：可自由设置咨询师访谈时间安排，通过测试、案例汇报等信息筛查学生，系统可直接发送手机短信或访谈邀请，并设定确认选项，时效性高、最大程度保护学生隐私、经由学生和咨询师之间相互确认到访率更高，</w:t>
      </w:r>
      <w:r>
        <w:t>并提供专门的访谈记录表。</w:t>
      </w:r>
    </w:p>
    <w:p>
      <w:r>
        <w:rPr>
          <w:rFonts w:hint="eastAsia"/>
        </w:rPr>
        <w:t>三、个案追踪：对需要关注的学生，可由班干部或心理委员对学生进行随访追踪。</w:t>
      </w:r>
    </w:p>
    <w:p>
      <w:pPr>
        <w:pStyle w:val="3"/>
        <w:keepNext w:val="0"/>
        <w:keepLines w:val="0"/>
        <w:spacing w:line="400" w:lineRule="exact"/>
        <w:ind w:firstLine="560" w:firstLineChars="200"/>
        <w:rPr>
          <w:rFonts w:ascii="方正仿宋_GBK" w:hAnsi="仿宋" w:eastAsia="方正仿宋_GBK"/>
          <w:b w:val="0"/>
          <w:sz w:val="28"/>
          <w:szCs w:val="28"/>
          <w:highlight w:val="green"/>
        </w:rPr>
      </w:pPr>
      <w:r>
        <w:rPr>
          <w:rFonts w:hint="eastAsia" w:ascii="方正仿宋_GBK" w:hAnsi="仿宋" w:eastAsia="方正仿宋_GBK"/>
          <w:b w:val="0"/>
          <w:sz w:val="28"/>
          <w:szCs w:val="28"/>
          <w:highlight w:val="green"/>
        </w:rPr>
        <w:t>3.</w:t>
      </w:r>
      <w:r>
        <w:rPr>
          <w:rFonts w:ascii="方正仿宋_GBK" w:hAnsi="仿宋" w:eastAsia="方正仿宋_GBK"/>
          <w:b w:val="0"/>
          <w:sz w:val="28"/>
          <w:szCs w:val="28"/>
          <w:highlight w:val="green"/>
        </w:rPr>
        <w:t>4</w:t>
      </w:r>
      <w:r>
        <w:rPr>
          <w:rFonts w:hint="eastAsia" w:ascii="方正仿宋_GBK" w:hAnsi="仿宋" w:eastAsia="方正仿宋_GBK"/>
          <w:b w:val="0"/>
          <w:sz w:val="28"/>
          <w:szCs w:val="28"/>
          <w:highlight w:val="green"/>
        </w:rPr>
        <w:t>拓展</w:t>
      </w:r>
      <w:r>
        <w:rPr>
          <w:rFonts w:ascii="方正仿宋_GBK" w:hAnsi="仿宋" w:eastAsia="方正仿宋_GBK"/>
          <w:b w:val="0"/>
          <w:sz w:val="28"/>
          <w:szCs w:val="28"/>
          <w:highlight w:val="green"/>
        </w:rPr>
        <w:t xml:space="preserve">辅导功能 </w:t>
      </w:r>
    </w:p>
    <w:p>
      <w:pPr>
        <w:ind w:firstLine="700" w:firstLineChars="250"/>
      </w:pPr>
      <w:r>
        <w:rPr>
          <w:rFonts w:hint="eastAsia"/>
        </w:rPr>
        <w:t>以最新的团体动力学理论为依据，辅助老师开展团辅活动。充分利用互联网优势，结合传统团辅形式，组成线上-线下，功能强大的团辅平台，实现线上课程设计，成员招募，课程记录成员报名，课程后的反馈，线下课程执行等。活动库中提供包含18大主题，75个活动的课程收藏。</w:t>
      </w:r>
    </w:p>
    <w:p>
      <w:r>
        <w:rPr>
          <w:rFonts w:hint="eastAsia"/>
        </w:rPr>
        <w:t>★可实现在线成员招募，招募形式多样化，满足各种各样的团体辅导活动需求，具体</w:t>
      </w:r>
      <w:r>
        <w:t>包括：</w:t>
      </w:r>
    </w:p>
    <w:p>
      <w:r>
        <w:rPr>
          <w:rFonts w:hint="eastAsia"/>
        </w:rPr>
        <w:t>①</w:t>
      </w:r>
      <w:r>
        <w:rPr>
          <w:rFonts w:hint="eastAsia"/>
        </w:rPr>
        <w:tab/>
      </w:r>
      <w:r>
        <w:rPr>
          <w:rFonts w:hint="eastAsia"/>
        </w:rPr>
        <w:t>公开招募，自由报名，审核机制；</w:t>
      </w:r>
    </w:p>
    <w:p>
      <w:r>
        <w:rPr>
          <w:rFonts w:hint="eastAsia"/>
        </w:rPr>
        <w:t>②定向招募：A、指定院系班级团体；B、自由组合上传名单；C、根据测试结果指定对象。</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3.</w:t>
      </w:r>
      <w:r>
        <w:rPr>
          <w:rFonts w:ascii="方正仿宋_GBK" w:hAnsi="仿宋" w:eastAsia="方正仿宋_GBK"/>
          <w:b w:val="0"/>
          <w:sz w:val="28"/>
          <w:szCs w:val="28"/>
        </w:rPr>
        <w:t>5</w:t>
      </w:r>
      <w:r>
        <w:rPr>
          <w:rFonts w:hint="eastAsia" w:ascii="方正仿宋_GBK" w:hAnsi="仿宋" w:eastAsia="方正仿宋_GBK"/>
          <w:b w:val="0"/>
          <w:sz w:val="28"/>
          <w:szCs w:val="28"/>
        </w:rPr>
        <w:t>心理</w:t>
      </w:r>
      <w:r>
        <w:rPr>
          <w:rFonts w:ascii="方正仿宋_GBK" w:hAnsi="仿宋" w:eastAsia="方正仿宋_GBK"/>
          <w:b w:val="0"/>
          <w:sz w:val="28"/>
          <w:szCs w:val="28"/>
        </w:rPr>
        <w:t>档案中心</w:t>
      </w:r>
    </w:p>
    <w:p>
      <w:r>
        <w:rPr>
          <w:rFonts w:hint="eastAsia"/>
        </w:rPr>
        <w:t>一、学生心理档案：</w:t>
      </w:r>
    </w:p>
    <w:p>
      <w:r>
        <w:rPr>
          <w:rFonts w:hint="eastAsia"/>
        </w:rPr>
        <w:t>包含学生个人基本资料、测评记录、咨询记录、案例汇报记录、访谈记录、问题留言记录、评语记录、自我成长报告记录。</w:t>
      </w:r>
    </w:p>
    <w:p>
      <w:r>
        <w:rPr>
          <w:rFonts w:hint="eastAsia"/>
        </w:rPr>
        <w:t>二、心理工作档案：包含</w:t>
      </w:r>
      <w:r>
        <w:t>分级</w:t>
      </w:r>
      <w:r>
        <w:rPr>
          <w:rFonts w:hint="eastAsia"/>
        </w:rPr>
        <w:t>月报表</w:t>
      </w:r>
      <w:r>
        <w:t>；咨询中心月报表；</w:t>
      </w:r>
      <w:r>
        <w:rPr>
          <w:rFonts w:hint="eastAsia"/>
        </w:rPr>
        <w:t>系统</w:t>
      </w:r>
      <w:r>
        <w:t>操作日志。</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3.</w:t>
      </w:r>
      <w:r>
        <w:rPr>
          <w:rFonts w:ascii="方正仿宋_GBK" w:hAnsi="仿宋" w:eastAsia="方正仿宋_GBK"/>
          <w:b w:val="0"/>
          <w:sz w:val="28"/>
          <w:szCs w:val="28"/>
        </w:rPr>
        <w:t>6</w:t>
      </w:r>
      <w:r>
        <w:rPr>
          <w:rFonts w:hint="eastAsia" w:ascii="方正仿宋_GBK" w:hAnsi="仿宋" w:eastAsia="方正仿宋_GBK"/>
          <w:b w:val="0"/>
          <w:sz w:val="28"/>
          <w:szCs w:val="28"/>
        </w:rPr>
        <w:t>学院心理门户网站</w:t>
      </w:r>
    </w:p>
    <w:p>
      <w:r>
        <w:rPr>
          <w:rFonts w:hint="eastAsia"/>
        </w:rPr>
        <w:t>一、栏目管理：支持自定义添加文章栏目。二、文章列表：支持查看文章列表并可查看阅读情况。三、发表文章：支持发表文章，文章可上传图片、视频等。</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3.</w:t>
      </w:r>
      <w:r>
        <w:rPr>
          <w:rFonts w:ascii="方正仿宋_GBK" w:hAnsi="仿宋" w:eastAsia="方正仿宋_GBK"/>
          <w:b w:val="0"/>
          <w:sz w:val="28"/>
          <w:szCs w:val="28"/>
        </w:rPr>
        <w:t>7</w:t>
      </w:r>
      <w:r>
        <w:rPr>
          <w:rFonts w:hint="eastAsia" w:ascii="方正仿宋_GBK" w:hAnsi="仿宋" w:eastAsia="方正仿宋_GBK"/>
          <w:b w:val="0"/>
          <w:sz w:val="28"/>
          <w:szCs w:val="28"/>
        </w:rPr>
        <w:t>微信移动端应用</w:t>
      </w:r>
    </w:p>
    <w:p>
      <w:pPr>
        <w:ind w:firstLine="560" w:firstLineChars="200"/>
      </w:pPr>
      <w:r>
        <w:rPr>
          <w:rFonts w:hint="eastAsia"/>
        </w:rPr>
        <w:t>支持大规模测试、手机微信测试接入，实现学生手机参与测评和预约咨询，报名参加团体辅导活动等。管理员可以在手机微信处理测试异常情况、咨询预约等情况。</w:t>
      </w:r>
    </w:p>
    <w:p>
      <w:pPr>
        <w:pStyle w:val="3"/>
        <w:keepNext w:val="0"/>
        <w:keepLines w:val="0"/>
        <w:spacing w:line="400" w:lineRule="exact"/>
        <w:ind w:firstLine="560" w:firstLineChars="200"/>
        <w:rPr>
          <w:rFonts w:ascii="方正仿宋_GBK" w:hAnsi="仿宋" w:eastAsia="方正仿宋_GBK"/>
          <w:b w:val="0"/>
          <w:sz w:val="28"/>
          <w:szCs w:val="28"/>
          <w:highlight w:val="green"/>
        </w:rPr>
      </w:pPr>
      <w:r>
        <w:rPr>
          <w:rFonts w:hint="eastAsia" w:ascii="方正仿宋_GBK" w:hAnsi="仿宋" w:eastAsia="方正仿宋_GBK"/>
          <w:b w:val="0"/>
          <w:sz w:val="28"/>
          <w:szCs w:val="28"/>
          <w:highlight w:val="green"/>
        </w:rPr>
        <w:t>3.</w:t>
      </w:r>
      <w:r>
        <w:rPr>
          <w:rFonts w:ascii="方正仿宋_GBK" w:hAnsi="仿宋" w:eastAsia="方正仿宋_GBK"/>
          <w:b w:val="0"/>
          <w:sz w:val="28"/>
          <w:szCs w:val="28"/>
          <w:highlight w:val="green"/>
        </w:rPr>
        <w:t>8</w:t>
      </w:r>
      <w:r>
        <w:rPr>
          <w:rFonts w:hint="eastAsia" w:ascii="方正仿宋_GBK" w:hAnsi="仿宋" w:eastAsia="方正仿宋_GBK"/>
          <w:b w:val="0"/>
          <w:sz w:val="28"/>
          <w:szCs w:val="28"/>
          <w:highlight w:val="green"/>
        </w:rPr>
        <w:t>★心理</w:t>
      </w:r>
      <w:r>
        <w:rPr>
          <w:rFonts w:ascii="方正仿宋_GBK" w:hAnsi="仿宋" w:eastAsia="方正仿宋_GBK"/>
          <w:b w:val="0"/>
          <w:sz w:val="28"/>
          <w:szCs w:val="28"/>
          <w:highlight w:val="green"/>
        </w:rPr>
        <w:t>中心</w:t>
      </w:r>
      <w:r>
        <w:rPr>
          <w:rFonts w:hint="eastAsia" w:ascii="方正仿宋_GBK" w:hAnsi="仿宋" w:eastAsia="方正仿宋_GBK"/>
          <w:b w:val="0"/>
          <w:sz w:val="28"/>
          <w:szCs w:val="28"/>
          <w:highlight w:val="green"/>
        </w:rPr>
        <w:t>月</w:t>
      </w:r>
      <w:r>
        <w:rPr>
          <w:rFonts w:ascii="方正仿宋_GBK" w:hAnsi="仿宋" w:eastAsia="方正仿宋_GBK"/>
          <w:b w:val="0"/>
          <w:sz w:val="28"/>
          <w:szCs w:val="28"/>
          <w:highlight w:val="green"/>
        </w:rPr>
        <w:t>报表</w:t>
      </w:r>
    </w:p>
    <w:p>
      <w:pPr>
        <w:rPr>
          <w:rFonts w:ascii="方正仿宋_GBK" w:hAnsi="仿宋" w:eastAsia="方正仿宋_GBK"/>
          <w:b/>
          <w:kern w:val="0"/>
          <w:szCs w:val="28"/>
        </w:rPr>
      </w:pPr>
      <w:r>
        <w:rPr>
          <w:rFonts w:hint="eastAsia"/>
        </w:rPr>
        <w:t xml:space="preserve">   </w:t>
      </w:r>
      <w:r>
        <w:t xml:space="preserve"> </w:t>
      </w:r>
      <w:r>
        <w:rPr>
          <w:rFonts w:hint="eastAsia"/>
        </w:rPr>
        <w:t>能对接学校现有心情温度计测评系统，用于每月对学生进行心理健康状况的自检，同时起到危机情况预测的作用。对接后的系统能满足学校、学院和学生在月报表工作流程中所需的相应功能，比如实现心理中心和辅导员的双向反馈机制，同时实现与校园网的数据共享。</w:t>
      </w:r>
    </w:p>
    <w:p>
      <w:pPr>
        <w:pStyle w:val="3"/>
        <w:keepNext w:val="0"/>
        <w:keepLines w:val="0"/>
        <w:spacing w:line="400" w:lineRule="exact"/>
        <w:ind w:firstLine="560" w:firstLineChars="200"/>
        <w:rPr>
          <w:rFonts w:ascii="方正仿宋_GBK" w:hAnsi="仿宋" w:eastAsia="方正仿宋_GBK"/>
          <w:b w:val="0"/>
          <w:sz w:val="28"/>
          <w:szCs w:val="28"/>
          <w:highlight w:val="green"/>
        </w:rPr>
      </w:pPr>
      <w:r>
        <w:rPr>
          <w:rFonts w:hint="eastAsia" w:ascii="方正仿宋_GBK" w:hAnsi="仿宋" w:eastAsia="方正仿宋_GBK"/>
          <w:b w:val="0"/>
          <w:sz w:val="28"/>
          <w:szCs w:val="28"/>
          <w:highlight w:val="green"/>
        </w:rPr>
        <w:t>3.</w:t>
      </w:r>
      <w:r>
        <w:rPr>
          <w:rFonts w:ascii="方正仿宋_GBK" w:hAnsi="仿宋" w:eastAsia="方正仿宋_GBK"/>
          <w:b w:val="0"/>
          <w:sz w:val="28"/>
          <w:szCs w:val="28"/>
          <w:highlight w:val="green"/>
        </w:rPr>
        <w:t>9</w:t>
      </w:r>
      <w:r>
        <w:rPr>
          <w:rFonts w:hint="eastAsia" w:ascii="方正仿宋_GBK" w:hAnsi="仿宋" w:eastAsia="方正仿宋_GBK"/>
          <w:b w:val="0"/>
          <w:sz w:val="28"/>
          <w:szCs w:val="28"/>
          <w:highlight w:val="green"/>
        </w:rPr>
        <w:t>★大数据中心</w:t>
      </w:r>
    </w:p>
    <w:p>
      <w:r>
        <w:rPr>
          <w:rFonts w:hint="eastAsia"/>
        </w:rPr>
        <w:t>一、学校网站与系统实现单点登录。</w:t>
      </w:r>
    </w:p>
    <w:p>
      <w:r>
        <w:rPr>
          <w:rFonts w:hint="eastAsia"/>
        </w:rPr>
        <w:t>单点登录（或者叫SSO、统一身份认证），是指用户用平台的用户名和密码登录进入平台之后，进入心理系统不再需要登录，直接进入系统内部。当用户从平台转到系统的时候，系统将判断获取到的学工号是否存在，如果不存在则不能进入。所以要求系统中已经存在和平台相同的学工号，系统中这些学工号是需要事先导入进去的，该项功能须由平台提供开发文档，心理系统开发统一认证程序实现。</w:t>
      </w:r>
    </w:p>
    <w:p>
      <w:r>
        <w:rPr>
          <w:rFonts w:hint="eastAsia"/>
        </w:rPr>
        <w:t>二、数据同步</w:t>
      </w:r>
    </w:p>
    <w:p>
      <w:r>
        <w:rPr>
          <w:rFonts w:hint="eastAsia"/>
        </w:rPr>
        <w:t>数据集成：和学校校园网对接获取学生基本资料。</w:t>
      </w:r>
    </w:p>
    <w:p>
      <w:pPr>
        <w:pStyle w:val="3"/>
        <w:keepNext w:val="0"/>
        <w:keepLines w:val="0"/>
        <w:spacing w:line="400" w:lineRule="exact"/>
        <w:ind w:firstLine="560" w:firstLineChars="200"/>
        <w:rPr>
          <w:rFonts w:ascii="方正仿宋_GBK" w:hAnsi="仿宋" w:eastAsia="方正仿宋_GBK"/>
          <w:b w:val="0"/>
          <w:sz w:val="28"/>
          <w:szCs w:val="28"/>
          <w:highlight w:val="green"/>
        </w:rPr>
      </w:pPr>
      <w:r>
        <w:rPr>
          <w:rFonts w:hint="eastAsia" w:ascii="方正仿宋_GBK" w:hAnsi="仿宋" w:eastAsia="方正仿宋_GBK"/>
          <w:b w:val="0"/>
          <w:sz w:val="28"/>
          <w:szCs w:val="28"/>
          <w:highlight w:val="green"/>
        </w:rPr>
        <w:t>3.</w:t>
      </w:r>
      <w:r>
        <w:rPr>
          <w:rFonts w:ascii="方正仿宋_GBK" w:hAnsi="仿宋" w:eastAsia="方正仿宋_GBK"/>
          <w:b w:val="0"/>
          <w:sz w:val="28"/>
          <w:szCs w:val="28"/>
          <w:highlight w:val="green"/>
        </w:rPr>
        <w:t>10</w:t>
      </w:r>
      <w:r>
        <w:rPr>
          <w:rFonts w:hint="eastAsia" w:ascii="方正仿宋_GBK" w:hAnsi="仿宋" w:eastAsia="方正仿宋_GBK"/>
          <w:b w:val="0"/>
          <w:sz w:val="28"/>
          <w:szCs w:val="28"/>
          <w:highlight w:val="green"/>
        </w:rPr>
        <w:t>投标重点要求</w:t>
      </w:r>
    </w:p>
    <w:p>
      <w:r>
        <w:rPr>
          <w:rFonts w:hint="eastAsia"/>
        </w:rPr>
        <w:t>一、中标单位在中标后需要演示：1,三级自杀风险评估的流程是否符合上述参数（即</w:t>
      </w:r>
      <w:r>
        <w:t>潜在风险评估；可</w:t>
      </w:r>
      <w:r>
        <w:rPr>
          <w:rFonts w:hint="eastAsia"/>
        </w:rPr>
        <w:t>依据</w:t>
      </w:r>
      <w:r>
        <w:t>潜在风险评估</w:t>
      </w:r>
      <w:r>
        <w:rPr>
          <w:rFonts w:hint="eastAsia"/>
        </w:rPr>
        <w:t>结果</w:t>
      </w:r>
      <w:r>
        <w:t>自动选择性分发</w:t>
      </w:r>
      <w:r>
        <w:rPr>
          <w:rFonts w:hint="eastAsia"/>
        </w:rPr>
        <w:t>二级</w:t>
      </w:r>
      <w:r>
        <w:t>自杀倾向评估；</w:t>
      </w:r>
      <w:r>
        <w:rPr>
          <w:rFonts w:hint="eastAsia"/>
        </w:rPr>
        <w:t>鉴别</w:t>
      </w:r>
      <w:r>
        <w:t>评估；</w:t>
      </w:r>
      <w:r>
        <w:rPr>
          <w:rFonts w:hint="eastAsia"/>
        </w:rPr>
        <w:t>生活事件</w:t>
      </w:r>
      <w:r>
        <w:t>动态评估；自杀应急管理；自杀后管理等</w:t>
      </w:r>
      <w:r>
        <w:rPr>
          <w:rFonts w:hint="eastAsia"/>
        </w:rPr>
        <w:t>）；2,在线咨询预约中加星号部分（预约</w:t>
      </w:r>
      <w:r>
        <w:t>的双向确认；首诊咨询</w:t>
      </w:r>
      <w:r>
        <w:rPr>
          <w:rFonts w:hint="eastAsia"/>
        </w:rPr>
        <w:t>师</w:t>
      </w:r>
      <w:r>
        <w:t>负责制；</w:t>
      </w:r>
      <w:r>
        <w:rPr>
          <w:rFonts w:hint="eastAsia"/>
        </w:rPr>
        <w:t>咨询</w:t>
      </w:r>
      <w:r>
        <w:t>申请的次数限制</w:t>
      </w:r>
      <w:r>
        <w:rPr>
          <w:rFonts w:hint="eastAsia"/>
        </w:rPr>
        <w:t>）；3,拓展辅导中成员招募。（可以依据测评结果、自主上传名单</w:t>
      </w:r>
      <w:r>
        <w:t>等</w:t>
      </w:r>
      <w:r>
        <w:rPr>
          <w:rFonts w:hint="eastAsia"/>
        </w:rPr>
        <w:t>多种招募</w:t>
      </w:r>
      <w:r>
        <w:t>方式</w:t>
      </w:r>
      <w:r>
        <w:rPr>
          <w:rFonts w:hint="eastAsia"/>
        </w:rPr>
        <w:t>）</w:t>
      </w:r>
    </w:p>
    <w:p>
      <w:r>
        <w:rPr>
          <w:rFonts w:hint="eastAsia"/>
        </w:rPr>
        <w:t>二、中标单位要确保所提供产品为经过国家相关单位检验合格的产品，具有产品检验合格证以及软件著作权；拥有专门的经过核心期刊发表的危机干预量表，并提供第三方青少年自杀倾向量表信效度检验证明加盖公章。</w:t>
      </w:r>
    </w:p>
    <w:p>
      <w:r>
        <w:rPr>
          <w:rFonts w:hint="eastAsia"/>
        </w:rPr>
        <w:t>三、完全满足以上两点才签订正式合同。（数据</w:t>
      </w:r>
      <w:r>
        <w:t>对接部分在合同内</w:t>
      </w:r>
      <w:r>
        <w:rPr>
          <w:rFonts w:hint="eastAsia"/>
        </w:rPr>
        <w:t>需</w:t>
      </w:r>
      <w:r>
        <w:t>详细说明</w:t>
      </w:r>
      <w:r>
        <w:rPr>
          <w:rFonts w:hint="eastAsia"/>
        </w:rPr>
        <w:t>）</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4售后服务支持</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4.1质保期</w:t>
      </w:r>
    </w:p>
    <w:p>
      <w:pPr>
        <w:ind w:firstLine="560" w:firstLineChars="200"/>
        <w:rPr>
          <w:b/>
        </w:rPr>
      </w:pPr>
      <w:r>
        <w:rPr>
          <w:rFonts w:hint="eastAsia"/>
        </w:rPr>
        <w:t>软件为长期质保，同版本免费升级。</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4.2售后服务内容</w:t>
      </w:r>
    </w:p>
    <w:p>
      <w:pPr>
        <w:rPr>
          <w:b/>
        </w:rPr>
      </w:pPr>
      <w:r>
        <w:rPr>
          <w:rFonts w:hint="eastAsia"/>
        </w:rPr>
        <w:t>一</w:t>
      </w:r>
      <w:r>
        <w:t>、</w:t>
      </w:r>
      <w:r>
        <w:rPr>
          <w:rFonts w:hint="eastAsia"/>
        </w:rPr>
        <w:t>系统使用过程中免费提供技术服务，提供24小时不间断售后技术服务支持。售后服务方式首选远程服务，如果24小时内解决不了问题，可提供上门服务。</w:t>
      </w:r>
    </w:p>
    <w:p>
      <w:pPr>
        <w:rPr>
          <w:b/>
        </w:rPr>
      </w:pPr>
      <w:r>
        <w:rPr>
          <w:rFonts w:hint="eastAsia"/>
        </w:rPr>
        <w:t>二</w:t>
      </w:r>
      <w:r>
        <w:t>、</w:t>
      </w:r>
      <w:r>
        <w:rPr>
          <w:rFonts w:hint="eastAsia"/>
        </w:rPr>
        <w:t>操作培训：可针对学校所有会用到系统的人提供集中免费的现场培训，保证系统运行流畅。</w:t>
      </w:r>
    </w:p>
    <w:p>
      <w:pPr>
        <w:rPr>
          <w:b/>
        </w:rPr>
      </w:pPr>
      <w:r>
        <w:rPr>
          <w:rFonts w:hint="eastAsia"/>
        </w:rPr>
        <w:t>三</w:t>
      </w:r>
      <w:r>
        <w:t>、</w:t>
      </w:r>
      <w:r>
        <w:rPr>
          <w:rFonts w:hint="eastAsia"/>
        </w:rPr>
        <w:t>系统功能完善：积极听取客户对于系统的改善建议，对于共性问题进行统一完善，提升产品品质的同时，改善用户使用体验。</w:t>
      </w:r>
    </w:p>
    <w:p>
      <w:pPr>
        <w:rPr>
          <w:b/>
        </w:rPr>
      </w:pPr>
      <w:r>
        <w:rPr>
          <w:rFonts w:hint="eastAsia"/>
        </w:rPr>
        <w:t>四</w:t>
      </w:r>
      <w:r>
        <w:t>、</w:t>
      </w:r>
      <w:r>
        <w:rPr>
          <w:rFonts w:hint="eastAsia"/>
        </w:rPr>
        <w:t>数据共享：所有数据可根据学校需要，开放给学校其他信息平台或学校数据中心访问，供方应免费提供数据接口和发放功能，具体数据开放由系统管理员控制。</w:t>
      </w:r>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三、投标供应商资格要求</w:t>
      </w:r>
    </w:p>
    <w:p>
      <w:pPr>
        <w:ind w:right="-1019" w:rightChars="-364" w:firstLine="560" w:firstLineChars="200"/>
        <w:rPr>
          <w:rFonts w:ascii="方正仿宋_GBK" w:hAnsi="仿宋" w:eastAsia="方正仿宋_GBK"/>
          <w:szCs w:val="28"/>
        </w:rPr>
      </w:pPr>
      <w:r>
        <w:rPr>
          <w:rFonts w:ascii="方正仿宋_GBK" w:hAnsi="仿宋" w:eastAsia="方正仿宋_GBK"/>
          <w:szCs w:val="28"/>
        </w:rPr>
        <w:t>1</w:t>
      </w:r>
      <w:r>
        <w:rPr>
          <w:rFonts w:hint="eastAsia" w:ascii="方正仿宋_GBK" w:hAnsi="仿宋" w:eastAsia="方正仿宋_GBK"/>
          <w:szCs w:val="28"/>
        </w:rPr>
        <w:t>、具有独立承担民事责任的能力；</w:t>
      </w:r>
    </w:p>
    <w:p>
      <w:pPr>
        <w:ind w:right="-1019" w:rightChars="-364" w:firstLine="560" w:firstLineChars="200"/>
        <w:rPr>
          <w:rFonts w:ascii="方正仿宋_GBK" w:hAnsi="仿宋" w:eastAsia="方正仿宋_GBK"/>
          <w:szCs w:val="28"/>
        </w:rPr>
      </w:pPr>
      <w:r>
        <w:rPr>
          <w:rFonts w:ascii="方正仿宋_GBK" w:hAnsi="仿宋" w:eastAsia="方正仿宋_GBK"/>
          <w:szCs w:val="28"/>
        </w:rPr>
        <w:t>2</w:t>
      </w:r>
      <w:r>
        <w:rPr>
          <w:rFonts w:hint="eastAsia" w:ascii="方正仿宋_GBK" w:hAnsi="仿宋" w:eastAsia="方正仿宋_GBK"/>
          <w:szCs w:val="28"/>
        </w:rPr>
        <w:t>、具有良好的商业信誉和健全的财务会计制度；</w:t>
      </w:r>
    </w:p>
    <w:p>
      <w:pPr>
        <w:ind w:right="-1019" w:rightChars="-364" w:firstLine="560" w:firstLineChars="200"/>
        <w:rPr>
          <w:rFonts w:ascii="方正仿宋_GBK" w:hAnsi="仿宋" w:eastAsia="方正仿宋_GBK"/>
          <w:szCs w:val="28"/>
        </w:rPr>
      </w:pPr>
      <w:r>
        <w:rPr>
          <w:rFonts w:ascii="方正仿宋_GBK" w:hAnsi="仿宋" w:eastAsia="方正仿宋_GBK"/>
          <w:szCs w:val="28"/>
        </w:rPr>
        <w:t>3</w:t>
      </w:r>
      <w:r>
        <w:rPr>
          <w:rFonts w:hint="eastAsia" w:ascii="方正仿宋_GBK" w:hAnsi="仿宋" w:eastAsia="方正仿宋_GBK"/>
          <w:szCs w:val="28"/>
        </w:rPr>
        <w:t>、具有履行合同所必需的设备和专业技术能力；</w:t>
      </w:r>
    </w:p>
    <w:p>
      <w:pPr>
        <w:ind w:right="-1019" w:rightChars="-364" w:firstLine="560" w:firstLineChars="200"/>
        <w:rPr>
          <w:rFonts w:ascii="方正仿宋_GBK" w:hAnsi="仿宋" w:eastAsia="方正仿宋_GBK"/>
          <w:szCs w:val="28"/>
        </w:rPr>
      </w:pPr>
      <w:r>
        <w:rPr>
          <w:rFonts w:ascii="方正仿宋_GBK" w:hAnsi="仿宋" w:eastAsia="方正仿宋_GBK"/>
          <w:szCs w:val="28"/>
        </w:rPr>
        <w:t>4</w:t>
      </w:r>
      <w:r>
        <w:rPr>
          <w:rFonts w:hint="eastAsia" w:ascii="方正仿宋_GBK" w:hAnsi="仿宋" w:eastAsia="方正仿宋_GBK"/>
          <w:szCs w:val="28"/>
        </w:rPr>
        <w:t>、有依法缴纳税收和社会诚信的良好记录；</w:t>
      </w:r>
    </w:p>
    <w:p>
      <w:pPr>
        <w:ind w:right="-1019" w:rightChars="-364" w:firstLine="560" w:firstLineChars="200"/>
        <w:rPr>
          <w:rFonts w:ascii="方正仿宋_GBK" w:hAnsi="仿宋" w:eastAsia="方正仿宋_GBK"/>
          <w:szCs w:val="28"/>
        </w:rPr>
      </w:pPr>
      <w:r>
        <w:rPr>
          <w:rFonts w:ascii="方正仿宋_GBK" w:hAnsi="仿宋" w:eastAsia="方正仿宋_GBK"/>
          <w:szCs w:val="28"/>
        </w:rPr>
        <w:t>5</w:t>
      </w:r>
      <w:r>
        <w:rPr>
          <w:rFonts w:hint="eastAsia" w:ascii="方正仿宋_GBK" w:hAnsi="仿宋" w:eastAsia="方正仿宋_GBK"/>
          <w:szCs w:val="28"/>
        </w:rPr>
        <w:t>、参加政府采购活动近三年内，在经营活动中没有重大违法记录。</w:t>
      </w:r>
      <w:bookmarkStart w:id="1" w:name="_Toc422993987"/>
    </w:p>
    <w:p>
      <w:pPr>
        <w:pStyle w:val="3"/>
        <w:keepNext w:val="0"/>
        <w:keepLines w:val="0"/>
        <w:spacing w:line="400" w:lineRule="exact"/>
        <w:ind w:firstLine="560" w:firstLineChars="200"/>
        <w:rPr>
          <w:rFonts w:ascii="方正仿宋_GBK" w:hAnsi="仿宋" w:eastAsia="方正仿宋_GBK"/>
          <w:b w:val="0"/>
          <w:sz w:val="28"/>
          <w:szCs w:val="28"/>
        </w:rPr>
      </w:pPr>
      <w:r>
        <w:rPr>
          <w:rFonts w:hint="eastAsia" w:ascii="方正仿宋_GBK" w:hAnsi="仿宋" w:eastAsia="方正仿宋_GBK"/>
          <w:b w:val="0"/>
          <w:sz w:val="28"/>
          <w:szCs w:val="28"/>
        </w:rPr>
        <w:t>四、特别说明</w:t>
      </w:r>
      <w:bookmarkEnd w:id="1"/>
    </w:p>
    <w:p>
      <w:pPr>
        <w:ind w:right="-1019" w:rightChars="-364" w:firstLine="560" w:firstLineChars="200"/>
        <w:rPr>
          <w:rFonts w:ascii="方正仿宋_GBK" w:hAnsi="仿宋" w:eastAsia="方正仿宋_GBK"/>
          <w:szCs w:val="28"/>
        </w:rPr>
      </w:pPr>
      <w:r>
        <w:rPr>
          <w:rFonts w:ascii="方正仿宋_GBK" w:hAnsi="仿宋" w:eastAsia="方正仿宋_GBK"/>
          <w:szCs w:val="28"/>
        </w:rPr>
        <w:t>1</w:t>
      </w:r>
      <w:r>
        <w:rPr>
          <w:rFonts w:hint="eastAsia" w:ascii="方正仿宋_GBK" w:hAnsi="仿宋" w:eastAsia="方正仿宋_GBK"/>
          <w:szCs w:val="28"/>
        </w:rPr>
        <w:t>、本项目限价工时、利润、税金等全部费用，不再另行收取其他任何费用。</w:t>
      </w:r>
    </w:p>
    <w:p>
      <w:pPr>
        <w:spacing w:line="500" w:lineRule="exact"/>
        <w:ind w:firstLine="560" w:firstLineChars="200"/>
        <w:rPr>
          <w:rFonts w:ascii="方正仿宋_GBK" w:hAnsi="仿宋" w:eastAsia="方正仿宋_GBK"/>
          <w:szCs w:val="28"/>
        </w:rPr>
      </w:pPr>
      <w:r>
        <w:rPr>
          <w:rFonts w:ascii="方正仿宋_GBK" w:hAnsi="仿宋" w:eastAsia="方正仿宋_GBK"/>
          <w:szCs w:val="28"/>
        </w:rPr>
        <w:t>2</w:t>
      </w:r>
      <w:r>
        <w:rPr>
          <w:rFonts w:hint="eastAsia" w:ascii="方正仿宋_GBK" w:hAnsi="仿宋" w:eastAsia="方正仿宋_GBK"/>
          <w:szCs w:val="28"/>
        </w:rPr>
        <w:t>、</w:t>
      </w:r>
      <w:r>
        <w:rPr>
          <w:rFonts w:hint="eastAsia" w:ascii="方正仿宋_GBK" w:hAnsi="仿宋" w:eastAsia="方正仿宋_GBK"/>
          <w:color w:val="000000"/>
          <w:szCs w:val="28"/>
        </w:rPr>
        <w:t>本项目拒绝联合体询价，为保障本项目的售后服务，注册地不在重庆市内的询价供应商，必须在重庆市内设立售后服务机构（分公司或授权服务机构）（提供工商证明材料或授权服务协议）。</w:t>
      </w:r>
    </w:p>
    <w:p>
      <w:pPr>
        <w:spacing w:line="500" w:lineRule="exact"/>
        <w:ind w:firstLine="560" w:firstLineChars="200"/>
        <w:rPr>
          <w:rFonts w:ascii="方正仿宋_GBK" w:hAnsi="仿宋" w:eastAsia="方正仿宋_GBK"/>
          <w:color w:val="FF0000"/>
          <w:szCs w:val="28"/>
        </w:rPr>
      </w:pPr>
      <w:r>
        <w:rPr>
          <w:rFonts w:ascii="方正仿宋_GBK" w:hAnsi="仿宋" w:eastAsia="方正仿宋_GBK"/>
          <w:color w:val="FF0000"/>
          <w:szCs w:val="28"/>
        </w:rPr>
        <w:t>3</w:t>
      </w:r>
      <w:r>
        <w:rPr>
          <w:rFonts w:hint="eastAsia" w:ascii="方正仿宋_GBK" w:hAnsi="仿宋" w:eastAsia="方正仿宋_GBK"/>
          <w:color w:val="FF0000"/>
          <w:szCs w:val="28"/>
        </w:rPr>
        <w:t>、投标报价文件递送时间：2018年</w:t>
      </w:r>
      <w:r>
        <w:rPr>
          <w:rFonts w:hint="eastAsia" w:ascii="方正仿宋_GBK" w:hAnsi="仿宋" w:eastAsia="方正仿宋_GBK"/>
          <w:color w:val="FF0000"/>
          <w:szCs w:val="28"/>
          <w:lang w:val="en-US" w:eastAsia="zh-CN"/>
        </w:rPr>
        <w:t>10</w:t>
      </w:r>
      <w:r>
        <w:rPr>
          <w:rFonts w:hint="eastAsia" w:ascii="方正仿宋_GBK" w:hAnsi="仿宋" w:eastAsia="方正仿宋_GBK"/>
          <w:color w:val="FF0000"/>
          <w:szCs w:val="28"/>
        </w:rPr>
        <w:t>月</w:t>
      </w:r>
      <w:r>
        <w:rPr>
          <w:rFonts w:hint="eastAsia" w:ascii="方正仿宋_GBK" w:hAnsi="仿宋" w:eastAsia="方正仿宋_GBK"/>
          <w:color w:val="FF0000"/>
          <w:szCs w:val="28"/>
          <w:lang w:val="en-US" w:eastAsia="zh-CN"/>
        </w:rPr>
        <w:t>15</w:t>
      </w:r>
      <w:r>
        <w:rPr>
          <w:rFonts w:hint="eastAsia" w:ascii="方正仿宋_GBK" w:hAnsi="仿宋" w:eastAsia="方正仿宋_GBK"/>
          <w:color w:val="FF0000"/>
          <w:szCs w:val="28"/>
        </w:rPr>
        <w:t xml:space="preserve">日9:30-10:00截止。  </w:t>
      </w:r>
    </w:p>
    <w:p>
      <w:pPr>
        <w:spacing w:line="500" w:lineRule="exact"/>
        <w:ind w:firstLine="2520" w:firstLineChars="900"/>
        <w:rPr>
          <w:rFonts w:ascii="方正仿宋_GBK" w:hAnsi="仿宋" w:eastAsia="方正仿宋_GBK"/>
          <w:color w:val="FF0000"/>
          <w:szCs w:val="28"/>
        </w:rPr>
      </w:pPr>
      <w:r>
        <w:rPr>
          <w:rFonts w:hint="eastAsia" w:ascii="方正仿宋_GBK" w:hAnsi="仿宋" w:eastAsia="方正仿宋_GBK"/>
          <w:color w:val="FF0000"/>
          <w:szCs w:val="28"/>
        </w:rPr>
        <w:t xml:space="preserve"> 开标时间：2018年</w:t>
      </w:r>
      <w:r>
        <w:rPr>
          <w:rFonts w:hint="eastAsia" w:ascii="方正仿宋_GBK" w:hAnsi="仿宋" w:eastAsia="方正仿宋_GBK"/>
          <w:color w:val="FF0000"/>
          <w:szCs w:val="28"/>
          <w:lang w:val="en-US" w:eastAsia="zh-CN"/>
        </w:rPr>
        <w:t>10</w:t>
      </w:r>
      <w:r>
        <w:rPr>
          <w:rFonts w:hint="eastAsia" w:ascii="方正仿宋_GBK" w:hAnsi="仿宋" w:eastAsia="方正仿宋_GBK"/>
          <w:color w:val="FF0000"/>
          <w:szCs w:val="28"/>
        </w:rPr>
        <w:t>月</w:t>
      </w:r>
      <w:r>
        <w:rPr>
          <w:rFonts w:hint="eastAsia" w:ascii="方正仿宋_GBK" w:hAnsi="仿宋" w:eastAsia="方正仿宋_GBK"/>
          <w:color w:val="FF0000"/>
          <w:szCs w:val="28"/>
          <w:lang w:val="en-US" w:eastAsia="zh-CN"/>
        </w:rPr>
        <w:t>1</w:t>
      </w:r>
      <w:r>
        <w:rPr>
          <w:rFonts w:ascii="方正仿宋_GBK" w:hAnsi="仿宋" w:eastAsia="方正仿宋_GBK"/>
          <w:color w:val="FF0000"/>
          <w:szCs w:val="28"/>
        </w:rPr>
        <w:t>5</w:t>
      </w:r>
      <w:r>
        <w:rPr>
          <w:rFonts w:hint="eastAsia" w:ascii="方正仿宋_GBK" w:hAnsi="仿宋" w:eastAsia="方正仿宋_GBK"/>
          <w:color w:val="FF0000"/>
          <w:szCs w:val="28"/>
        </w:rPr>
        <w:t>日10:00-10:10</w:t>
      </w:r>
    </w:p>
    <w:p>
      <w:pPr>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4、投标文件报送地点：重庆市南岸区南山街道崇教路1号（南山校区）行政楼108室。（投标商可以采取投标代理人送到或者寄达的方式递交投标文件）</w:t>
      </w:r>
    </w:p>
    <w:p>
      <w:pPr>
        <w:spacing w:line="500" w:lineRule="exact"/>
        <w:ind w:firstLine="560" w:firstLineChars="200"/>
        <w:rPr>
          <w:rFonts w:ascii="方正仿宋_GBK" w:hAnsi="仿宋" w:eastAsia="方正仿宋_GBK"/>
          <w:b/>
          <w:szCs w:val="28"/>
        </w:rPr>
      </w:pPr>
      <w:r>
        <w:rPr>
          <w:rFonts w:hint="eastAsia" w:ascii="方正仿宋_GBK" w:hAnsi="仿宋" w:eastAsia="方正仿宋_GBK"/>
          <w:szCs w:val="28"/>
        </w:rPr>
        <w:t>5、供应商报送资料内容：</w:t>
      </w:r>
      <w:r>
        <w:rPr>
          <w:rFonts w:hint="eastAsia" w:ascii="方正仿宋_GBK" w:hAnsi="仿宋" w:eastAsia="方正仿宋_GBK"/>
          <w:b/>
          <w:szCs w:val="28"/>
        </w:rPr>
        <w:t>报价表（附录</w:t>
      </w:r>
      <w:r>
        <w:rPr>
          <w:rFonts w:ascii="方正仿宋_GBK" w:hAnsi="仿宋" w:eastAsia="方正仿宋_GBK"/>
          <w:b/>
          <w:szCs w:val="28"/>
        </w:rPr>
        <w:t>1</w:t>
      </w:r>
      <w:r>
        <w:rPr>
          <w:rFonts w:hint="eastAsia" w:ascii="方正仿宋_GBK" w:hAnsi="仿宋" w:eastAsia="方正仿宋_GBK"/>
          <w:b/>
          <w:szCs w:val="28"/>
        </w:rPr>
        <w:t>）、法定代表人身份证明（附录2）、法定代表人授权委托书（附录3）、企业资格文件（营业执照、税务登记证、组织机构代码证）、技术应答表（格式自定）、技术偏离表（格式自定）、商务承诺（格式自定）。</w:t>
      </w:r>
    </w:p>
    <w:p>
      <w:pPr>
        <w:spacing w:line="500" w:lineRule="exact"/>
        <w:ind w:firstLine="560" w:firstLineChars="200"/>
        <w:rPr>
          <w:rFonts w:ascii="方正仿宋_GBK" w:hAnsi="仿宋" w:eastAsia="方正仿宋_GBK"/>
          <w:b/>
          <w:szCs w:val="28"/>
        </w:rPr>
      </w:pPr>
      <w:r>
        <w:rPr>
          <w:rFonts w:hint="eastAsia" w:ascii="方正仿宋_GBK" w:hAnsi="仿宋" w:eastAsia="方正仿宋_GBK"/>
          <w:b/>
          <w:szCs w:val="28"/>
        </w:rPr>
        <w:t>其中附录1报价表请单独密封提供1份，其它材料装订成册并密封提供1份。每页法定代表人或授权代表签字并加盖公章。封面应有该项目编号、供应商名称、法定代表人或授权代表姓名及联系方式，封口处须加盖投标人公章。（不按规定制作装订、密封的，为无效报价）。</w:t>
      </w:r>
    </w:p>
    <w:p>
      <w:pPr>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6、交货时间：合同签订后30个工作日</w:t>
      </w:r>
      <w:r>
        <w:rPr>
          <w:rFonts w:ascii="方正仿宋_GBK" w:hAnsi="仿宋" w:eastAsia="方正仿宋_GBK"/>
          <w:szCs w:val="28"/>
        </w:rPr>
        <w:t xml:space="preserve"> </w:t>
      </w:r>
    </w:p>
    <w:p>
      <w:pPr>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7、交货地点：</w:t>
      </w:r>
      <w:r>
        <w:rPr>
          <w:rFonts w:ascii="方正仿宋_GBK" w:hAnsi="仿宋" w:eastAsia="方正仿宋_GBK"/>
          <w:szCs w:val="28"/>
        </w:rPr>
        <w:t xml:space="preserve"> </w:t>
      </w:r>
    </w:p>
    <w:p>
      <w:pPr>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8、供应商应明确承诺：响应招标文件质保售后要求</w:t>
      </w:r>
      <w:r>
        <w:rPr>
          <w:rFonts w:ascii="方正仿宋_GBK" w:hAnsi="仿宋" w:eastAsia="方正仿宋_GBK"/>
          <w:szCs w:val="28"/>
        </w:rPr>
        <w:t xml:space="preserve"> </w:t>
      </w:r>
    </w:p>
    <w:p>
      <w:pPr>
        <w:spacing w:line="500" w:lineRule="exact"/>
        <w:ind w:firstLine="560" w:firstLineChars="200"/>
        <w:rPr>
          <w:rFonts w:ascii="方正仿宋_GBK" w:hAnsi="仿宋" w:eastAsia="方正仿宋_GBK"/>
          <w:szCs w:val="28"/>
        </w:rPr>
      </w:pPr>
      <w:r>
        <w:rPr>
          <w:rFonts w:hint="eastAsia" w:ascii="方正仿宋_GBK" w:hAnsi="仿宋" w:eastAsia="方正仿宋_GBK"/>
          <w:szCs w:val="28"/>
        </w:rPr>
        <w:t>9、其他优惠承诺：自报优</w:t>
      </w:r>
      <w:bookmarkStart w:id="3" w:name="_GoBack"/>
      <w:bookmarkEnd w:id="3"/>
      <w:r>
        <w:rPr>
          <w:rFonts w:hint="eastAsia" w:ascii="方正仿宋_GBK" w:hAnsi="仿宋" w:eastAsia="方正仿宋_GBK"/>
          <w:szCs w:val="28"/>
        </w:rPr>
        <w:t>惠条件，在商务承诺中注明</w:t>
      </w:r>
    </w:p>
    <w:p>
      <w:pPr>
        <w:spacing w:line="500" w:lineRule="exact"/>
        <w:ind w:firstLine="560" w:firstLineChars="200"/>
        <w:rPr>
          <w:rFonts w:ascii="方正仿宋_GBK" w:hAnsi="仿宋" w:eastAsia="方正仿宋_GBK"/>
          <w:szCs w:val="28"/>
        </w:rPr>
      </w:pPr>
      <w:r>
        <w:rPr>
          <w:rFonts w:ascii="方正仿宋_GBK" w:hAnsi="仿宋" w:eastAsia="方正仿宋_GBK"/>
          <w:szCs w:val="28"/>
        </w:rPr>
        <w:t>1</w:t>
      </w:r>
      <w:r>
        <w:rPr>
          <w:rFonts w:hint="eastAsia" w:ascii="方正仿宋_GBK" w:hAnsi="仿宋" w:eastAsia="方正仿宋_GBK"/>
          <w:szCs w:val="28"/>
        </w:rPr>
        <w:t>0、付款方式：</w:t>
      </w:r>
    </w:p>
    <w:p>
      <w:pPr>
        <w:spacing w:line="500" w:lineRule="exact"/>
        <w:ind w:firstLine="560" w:firstLineChars="200"/>
        <w:rPr>
          <w:rFonts w:ascii="方正仿宋_GBK" w:hAnsi="仿宋" w:eastAsia="方正仿宋_GBK"/>
          <w:szCs w:val="28"/>
        </w:rPr>
      </w:pPr>
      <w:r>
        <w:rPr>
          <w:rFonts w:ascii="方正仿宋_GBK" w:hAnsi="仿宋" w:eastAsia="方正仿宋_GBK"/>
          <w:szCs w:val="28"/>
        </w:rPr>
        <w:t>1</w:t>
      </w:r>
      <w:r>
        <w:rPr>
          <w:rFonts w:hint="eastAsia" w:ascii="方正仿宋_GBK" w:hAnsi="仿宋" w:eastAsia="方正仿宋_GBK"/>
          <w:szCs w:val="28"/>
        </w:rPr>
        <w:t>1、成交原则：最低价中标（评审组将对投标文件先进行审核，满足采购需求的投标供应商可进入报价环节）</w:t>
      </w:r>
    </w:p>
    <w:p>
      <w:pPr>
        <w:spacing w:line="500" w:lineRule="exact"/>
        <w:ind w:firstLine="560" w:firstLineChars="200"/>
        <w:rPr>
          <w:rFonts w:ascii="方正仿宋_GBK" w:hAnsi="仿宋" w:eastAsia="方正仿宋_GBK"/>
          <w:szCs w:val="28"/>
        </w:rPr>
      </w:pPr>
      <w:r>
        <w:rPr>
          <w:rFonts w:ascii="方正仿宋_GBK" w:hAnsi="仿宋" w:eastAsia="方正仿宋_GBK"/>
          <w:szCs w:val="28"/>
        </w:rPr>
        <w:t>1</w:t>
      </w:r>
      <w:r>
        <w:rPr>
          <w:rFonts w:hint="eastAsia" w:ascii="方正仿宋_GBK" w:hAnsi="仿宋" w:eastAsia="方正仿宋_GBK"/>
          <w:szCs w:val="28"/>
        </w:rPr>
        <w:t>2</w:t>
      </w:r>
      <w:r>
        <w:rPr>
          <w:rFonts w:hint="eastAsia" w:ascii="方正仿宋_GBK" w:hAnsi="仿宋" w:eastAsia="方正仿宋_GBK"/>
          <w:color w:val="FF0000"/>
          <w:szCs w:val="28"/>
        </w:rPr>
        <w:t>、联系人及联系电话：</w:t>
      </w:r>
      <w:r>
        <w:rPr>
          <w:rFonts w:ascii="方正仿宋_GBK" w:hAnsi="仿宋" w:eastAsia="方正仿宋_GBK"/>
          <w:color w:val="FF0000"/>
          <w:szCs w:val="28"/>
        </w:rPr>
        <w:t xml:space="preserve"> </w:t>
      </w:r>
      <w:r>
        <w:rPr>
          <w:rFonts w:hint="eastAsia" w:ascii="方正仿宋_GBK" w:hAnsi="仿宋" w:eastAsia="方正仿宋_GBK"/>
          <w:color w:val="FF0000"/>
          <w:szCs w:val="28"/>
        </w:rPr>
        <w:t>王</w:t>
      </w:r>
      <w:r>
        <w:rPr>
          <w:rFonts w:hint="eastAsia" w:ascii="方正仿宋_GBK" w:hAnsi="仿宋" w:eastAsia="方正仿宋_GBK"/>
          <w:color w:val="FF0000"/>
          <w:szCs w:val="28"/>
          <w:lang w:eastAsia="zh-CN"/>
        </w:rPr>
        <w:t>老师</w:t>
      </w:r>
      <w:r>
        <w:rPr>
          <w:rFonts w:hint="eastAsia" w:ascii="方正仿宋_GBK" w:hAnsi="仿宋" w:eastAsia="方正仿宋_GBK"/>
          <w:color w:val="FF0000"/>
          <w:szCs w:val="28"/>
        </w:rPr>
        <w:t xml:space="preserve"> 17723072496</w:t>
      </w:r>
    </w:p>
    <w:p>
      <w:pPr>
        <w:spacing w:line="500" w:lineRule="exact"/>
        <w:rPr>
          <w:rFonts w:ascii="方正仿宋_GBK" w:hAnsi="仿宋" w:eastAsia="方正仿宋_GBK"/>
          <w:szCs w:val="28"/>
        </w:rPr>
      </w:pPr>
    </w:p>
    <w:p>
      <w:pPr>
        <w:spacing w:line="500" w:lineRule="exact"/>
        <w:rPr>
          <w:rFonts w:ascii="方正仿宋_GBK" w:hAnsi="仿宋" w:eastAsia="方正仿宋_GBK"/>
          <w:szCs w:val="28"/>
        </w:rPr>
      </w:pPr>
    </w:p>
    <w:p>
      <w:pPr>
        <w:spacing w:line="500" w:lineRule="exact"/>
        <w:rPr>
          <w:rFonts w:ascii="方正仿宋_GBK" w:hAnsi="仿宋" w:eastAsia="方正仿宋_GBK"/>
          <w:szCs w:val="28"/>
        </w:rPr>
      </w:pPr>
    </w:p>
    <w:p>
      <w:pPr>
        <w:spacing w:line="500" w:lineRule="exact"/>
        <w:ind w:firstLine="5460" w:firstLineChars="1950"/>
        <w:rPr>
          <w:rFonts w:ascii="方正仿宋_GBK" w:hAnsi="仿宋" w:eastAsia="方正仿宋_GBK"/>
          <w:szCs w:val="28"/>
        </w:rPr>
      </w:pPr>
      <w:r>
        <w:rPr>
          <w:rFonts w:hint="eastAsia" w:ascii="方正仿宋_GBK" w:hAnsi="仿宋" w:eastAsia="方正仿宋_GBK"/>
          <w:szCs w:val="28"/>
        </w:rPr>
        <w:t>重庆第二师范学院</w:t>
      </w:r>
    </w:p>
    <w:p>
      <w:pPr>
        <w:spacing w:line="500" w:lineRule="exact"/>
        <w:ind w:right="980" w:firstLine="5460" w:firstLineChars="1950"/>
        <w:rPr>
          <w:rFonts w:ascii="方正仿宋_GBK" w:hAnsi="仿宋" w:eastAsia="方正仿宋_GBK"/>
          <w:szCs w:val="28"/>
        </w:rPr>
      </w:pPr>
      <w:r>
        <w:rPr>
          <w:rFonts w:ascii="方正仿宋_GBK" w:hAnsi="仿宋" w:eastAsia="方正仿宋_GBK"/>
          <w:szCs w:val="28"/>
        </w:rPr>
        <w:t>201</w:t>
      </w:r>
      <w:r>
        <w:rPr>
          <w:rFonts w:hint="eastAsia" w:ascii="方正仿宋_GBK" w:hAnsi="仿宋" w:eastAsia="方正仿宋_GBK"/>
          <w:szCs w:val="28"/>
        </w:rPr>
        <w:t>8年</w:t>
      </w:r>
      <w:r>
        <w:rPr>
          <w:rFonts w:hint="eastAsia" w:ascii="方正仿宋_GBK" w:hAnsi="仿宋" w:eastAsia="方正仿宋_GBK"/>
          <w:szCs w:val="28"/>
          <w:lang w:val="en-US" w:eastAsia="zh-CN"/>
        </w:rPr>
        <w:t>10</w:t>
      </w:r>
      <w:r>
        <w:rPr>
          <w:rFonts w:hint="eastAsia" w:ascii="方正仿宋_GBK" w:hAnsi="仿宋" w:eastAsia="方正仿宋_GBK"/>
          <w:szCs w:val="28"/>
        </w:rPr>
        <w:t>月 1</w:t>
      </w:r>
      <w:r>
        <w:rPr>
          <w:rFonts w:hint="eastAsia" w:ascii="方正仿宋_GBK" w:hAnsi="仿宋" w:eastAsia="方正仿宋_GBK"/>
          <w:szCs w:val="28"/>
          <w:lang w:val="en-US" w:eastAsia="zh-CN"/>
        </w:rPr>
        <w:t>0</w:t>
      </w:r>
      <w:r>
        <w:rPr>
          <w:rFonts w:hint="eastAsia" w:ascii="方正仿宋_GBK" w:hAnsi="仿宋" w:eastAsia="方正仿宋_GBK"/>
          <w:szCs w:val="28"/>
        </w:rPr>
        <w:t xml:space="preserve"> 日</w:t>
      </w:r>
    </w:p>
    <w:p>
      <w:pPr>
        <w:spacing w:line="400" w:lineRule="exact"/>
        <w:rPr>
          <w:rFonts w:ascii="仿宋" w:hAnsi="仿宋" w:eastAsia="仿宋"/>
          <w:szCs w:val="28"/>
        </w:rPr>
        <w:sectPr>
          <w:headerReference r:id="rId4" w:type="first"/>
          <w:footerReference r:id="rId7" w:type="first"/>
          <w:headerReference r:id="rId3" w:type="default"/>
          <w:footerReference r:id="rId5" w:type="default"/>
          <w:footerReference r:id="rId6" w:type="even"/>
          <w:pgSz w:w="11906" w:h="16838"/>
          <w:pgMar w:top="1428" w:right="1106" w:bottom="1571" w:left="1080" w:header="851" w:footer="1247" w:gutter="0"/>
          <w:pgNumType w:start="1"/>
          <w:cols w:space="425" w:num="1"/>
          <w:docGrid w:type="lines" w:linePitch="287" w:charSpace="0"/>
        </w:sectPr>
      </w:pPr>
    </w:p>
    <w:p>
      <w:pPr>
        <w:pStyle w:val="5"/>
        <w:rPr>
          <w:rFonts w:ascii="方正黑体_GBK" w:hAnsi="宋体" w:eastAsia="方正黑体_GBK"/>
          <w:b w:val="0"/>
        </w:rPr>
      </w:pPr>
      <w:r>
        <w:rPr>
          <w:rFonts w:hint="eastAsia" w:ascii="方正黑体_GBK" w:hAnsi="宋体" w:eastAsia="方正黑体_GBK"/>
          <w:b w:val="0"/>
        </w:rPr>
        <w:t>附录</w:t>
      </w:r>
      <w:r>
        <w:rPr>
          <w:rFonts w:ascii="方正黑体_GBK" w:hAnsi="宋体" w:eastAsia="方正黑体_GBK"/>
          <w:b w:val="0"/>
        </w:rPr>
        <w:t>1</w:t>
      </w:r>
    </w:p>
    <w:p>
      <w:pPr>
        <w:spacing w:line="360" w:lineRule="auto"/>
        <w:jc w:val="center"/>
        <w:rPr>
          <w:rFonts w:ascii="方正仿宋_GBK" w:hAnsi="宋体" w:eastAsia="方正仿宋_GBK"/>
          <w:sz w:val="44"/>
        </w:rPr>
      </w:pPr>
      <w:r>
        <w:rPr>
          <w:rFonts w:hint="eastAsia" w:ascii="方正仿宋_GBK" w:hAnsi="宋体" w:eastAsia="方正仿宋_GBK"/>
          <w:sz w:val="44"/>
        </w:rPr>
        <w:t>报价表</w:t>
      </w:r>
    </w:p>
    <w:tbl>
      <w:tblPr>
        <w:tblStyle w:val="1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00" w:type="dxa"/>
          </w:tcPr>
          <w:p>
            <w:pPr>
              <w:spacing w:line="360" w:lineRule="auto"/>
              <w:jc w:val="center"/>
              <w:rPr>
                <w:rFonts w:ascii="方正仿宋_GBK" w:hAnsi="宋体" w:eastAsia="方正仿宋_GBK"/>
              </w:rPr>
            </w:pPr>
            <w:r>
              <w:rPr>
                <w:rFonts w:hint="eastAsia" w:ascii="方正仿宋_GBK" w:hAnsi="宋体" w:eastAsia="方正仿宋_GBK"/>
              </w:rPr>
              <w:t>项目名称</w:t>
            </w:r>
          </w:p>
        </w:tc>
        <w:tc>
          <w:tcPr>
            <w:tcW w:w="7188" w:type="dxa"/>
          </w:tcPr>
          <w:p>
            <w:pPr>
              <w:spacing w:line="360" w:lineRule="auto"/>
              <w:rPr>
                <w:rFonts w:ascii="方正仿宋_GBK" w:hAnsi="宋体" w:eastAsia="方正仿宋_GBK"/>
              </w:rPr>
            </w:pPr>
            <w:r>
              <w:rPr>
                <w:rFonts w:hint="eastAsia" w:ascii="方正仿宋_GBK" w:hAnsi="宋体" w:eastAsia="方正仿宋_GBK"/>
                <w:sz w:val="32"/>
                <w:szCs w:val="32"/>
              </w:rPr>
              <w:t>学生心理危机综合管理系统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00" w:type="dxa"/>
          </w:tcPr>
          <w:p>
            <w:pPr>
              <w:spacing w:line="360" w:lineRule="auto"/>
              <w:jc w:val="center"/>
              <w:rPr>
                <w:rFonts w:ascii="方正仿宋_GBK" w:hAnsi="宋体" w:eastAsia="方正仿宋_GBK"/>
              </w:rPr>
            </w:pPr>
            <w:r>
              <w:rPr>
                <w:rFonts w:hint="eastAsia" w:ascii="方正仿宋_GBK" w:hAnsi="宋体" w:eastAsia="方正仿宋_GBK"/>
              </w:rPr>
              <w:t>项目编号</w:t>
            </w:r>
          </w:p>
        </w:tc>
        <w:tc>
          <w:tcPr>
            <w:tcW w:w="7188" w:type="dxa"/>
          </w:tcPr>
          <w:p>
            <w:pPr>
              <w:spacing w:line="360" w:lineRule="auto"/>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00" w:type="dxa"/>
          </w:tcPr>
          <w:p>
            <w:pPr>
              <w:spacing w:line="360" w:lineRule="auto"/>
              <w:jc w:val="center"/>
              <w:rPr>
                <w:rFonts w:ascii="方正仿宋_GBK" w:hAnsi="宋体" w:eastAsia="方正仿宋_GBK"/>
              </w:rPr>
            </w:pPr>
            <w:r>
              <w:rPr>
                <w:rFonts w:hint="eastAsia" w:ascii="方正仿宋_GBK" w:hAnsi="宋体" w:eastAsia="方正仿宋_GBK"/>
              </w:rPr>
              <w:t>合计（小写）</w:t>
            </w:r>
          </w:p>
        </w:tc>
        <w:tc>
          <w:tcPr>
            <w:tcW w:w="7188" w:type="dxa"/>
          </w:tcPr>
          <w:p>
            <w:pPr>
              <w:spacing w:line="360" w:lineRule="auto"/>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00" w:type="dxa"/>
          </w:tcPr>
          <w:p>
            <w:pPr>
              <w:spacing w:line="360" w:lineRule="auto"/>
              <w:jc w:val="center"/>
              <w:rPr>
                <w:rFonts w:ascii="方正仿宋_GBK" w:hAnsi="宋体" w:eastAsia="方正仿宋_GBK"/>
              </w:rPr>
            </w:pPr>
            <w:r>
              <w:rPr>
                <w:rFonts w:hint="eastAsia" w:ascii="方正仿宋_GBK" w:hAnsi="宋体" w:eastAsia="方正仿宋_GBK"/>
              </w:rPr>
              <w:t>合计（大写）</w:t>
            </w:r>
          </w:p>
        </w:tc>
        <w:tc>
          <w:tcPr>
            <w:tcW w:w="7188" w:type="dxa"/>
          </w:tcPr>
          <w:p>
            <w:pPr>
              <w:spacing w:line="360" w:lineRule="auto"/>
              <w:rPr>
                <w:rFonts w:ascii="方正仿宋_GBK" w:hAnsi="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00" w:type="dxa"/>
          </w:tcPr>
          <w:p>
            <w:pPr>
              <w:spacing w:line="360" w:lineRule="auto"/>
              <w:jc w:val="center"/>
              <w:rPr>
                <w:rFonts w:ascii="方正仿宋_GBK" w:hAnsi="宋体" w:eastAsia="方正仿宋_GBK"/>
              </w:rPr>
            </w:pPr>
            <w:r>
              <w:rPr>
                <w:rFonts w:ascii="方正仿宋_GBK" w:hAnsi="宋体" w:eastAsia="方正仿宋_GBK"/>
              </w:rPr>
              <w:t>备注</w:t>
            </w:r>
          </w:p>
        </w:tc>
        <w:tc>
          <w:tcPr>
            <w:tcW w:w="7188" w:type="dxa"/>
          </w:tcPr>
          <w:p>
            <w:pPr>
              <w:spacing w:line="360" w:lineRule="auto"/>
              <w:rPr>
                <w:rFonts w:ascii="方正仿宋_GBK" w:hAnsi="宋体" w:eastAsia="方正仿宋_GBK"/>
              </w:rPr>
            </w:pPr>
          </w:p>
        </w:tc>
      </w:tr>
    </w:tbl>
    <w:p>
      <w:pPr>
        <w:rPr>
          <w:rFonts w:ascii="方正仿宋_GBK" w:hAnsi="宋体" w:eastAsia="方正仿宋_GBK"/>
        </w:rPr>
      </w:pPr>
    </w:p>
    <w:p>
      <w:pPr>
        <w:rPr>
          <w:rFonts w:ascii="方正仿宋_GBK" w:hAnsi="宋体" w:eastAsia="方正仿宋_GBK"/>
        </w:rPr>
      </w:pPr>
      <w:r>
        <w:rPr>
          <w:rFonts w:hint="eastAsia" w:ascii="方正仿宋_GBK" w:hAnsi="宋体" w:eastAsia="方正仿宋_GBK"/>
        </w:rPr>
        <w:t>交货时间：</w:t>
      </w:r>
      <w:r>
        <w:rPr>
          <w:rFonts w:ascii="方正仿宋_GBK" w:hAnsi="宋体" w:eastAsia="方正仿宋_GBK"/>
        </w:rPr>
        <w:t xml:space="preserve"> </w:t>
      </w:r>
    </w:p>
    <w:p>
      <w:pPr>
        <w:rPr>
          <w:rFonts w:ascii="方正仿宋_GBK" w:hAnsi="宋体" w:eastAsia="方正仿宋_GBK"/>
        </w:rPr>
      </w:pPr>
    </w:p>
    <w:p>
      <w:pPr>
        <w:rPr>
          <w:rFonts w:ascii="方正仿宋_GBK" w:hAnsi="宋体" w:eastAsia="方正仿宋_GBK"/>
        </w:rPr>
      </w:pPr>
      <w:r>
        <w:rPr>
          <w:rFonts w:hint="eastAsia" w:ascii="方正仿宋_GBK" w:hAnsi="宋体" w:eastAsia="方正仿宋_GBK"/>
        </w:rPr>
        <w:t>交货地点：</w:t>
      </w:r>
      <w:r>
        <w:rPr>
          <w:rFonts w:ascii="方正仿宋_GBK" w:hAnsi="宋体" w:eastAsia="方正仿宋_GBK"/>
        </w:rPr>
        <w:t xml:space="preserve"> </w:t>
      </w:r>
    </w:p>
    <w:p>
      <w:pPr>
        <w:rPr>
          <w:rFonts w:ascii="方正仿宋_GBK" w:hAnsi="宋体" w:eastAsia="方正仿宋_GBK"/>
        </w:rPr>
      </w:pPr>
    </w:p>
    <w:p>
      <w:pPr>
        <w:rPr>
          <w:rFonts w:ascii="方正仿宋_GBK" w:hAnsi="宋体" w:eastAsia="方正仿宋_GBK"/>
        </w:rPr>
      </w:pPr>
      <w:r>
        <w:rPr>
          <w:rFonts w:hint="eastAsia" w:ascii="方正仿宋_GBK" w:hAnsi="宋体" w:eastAsia="方正仿宋_GBK"/>
        </w:rPr>
        <w:t>其他说明：</w:t>
      </w:r>
    </w:p>
    <w:p>
      <w:pPr>
        <w:ind w:firstLine="537" w:firstLineChars="192"/>
        <w:jc w:val="left"/>
        <w:rPr>
          <w:rFonts w:ascii="方正仿宋简体" w:hAnsi="宋体" w:eastAsia="方正仿宋简体"/>
        </w:rPr>
      </w:pPr>
    </w:p>
    <w:p>
      <w:pPr>
        <w:jc w:val="left"/>
        <w:rPr>
          <w:rFonts w:ascii="方正仿宋简体" w:hAnsi="宋体" w:eastAsia="方正仿宋简体"/>
        </w:rPr>
      </w:pPr>
    </w:p>
    <w:p>
      <w:pPr>
        <w:ind w:firstLine="5157" w:firstLineChars="1842"/>
        <w:jc w:val="left"/>
        <w:rPr>
          <w:rFonts w:ascii="方正仿宋_GBK" w:hAnsi="宋体" w:eastAsia="方正仿宋_GBK"/>
        </w:rPr>
      </w:pPr>
      <w:r>
        <w:rPr>
          <w:rFonts w:hint="eastAsia" w:ascii="方正仿宋_GBK" w:hAnsi="宋体" w:eastAsia="方正仿宋_GBK"/>
        </w:rPr>
        <w:t>供应商全称：</w:t>
      </w:r>
    </w:p>
    <w:p>
      <w:pPr>
        <w:ind w:firstLine="5955" w:firstLineChars="2127"/>
        <w:rPr>
          <w:rFonts w:ascii="方正仿宋_GBK" w:hAnsi="宋体" w:eastAsia="方正仿宋_GBK"/>
        </w:rPr>
      </w:pPr>
      <w:r>
        <w:rPr>
          <w:rFonts w:hint="eastAsia" w:ascii="方正仿宋_GBK" w:hAnsi="宋体" w:eastAsia="方正仿宋_GBK"/>
        </w:rPr>
        <w:t>公章：</w:t>
      </w:r>
    </w:p>
    <w:p>
      <w:pPr>
        <w:ind w:firstLine="5955" w:firstLineChars="2127"/>
        <w:rPr>
          <w:rFonts w:ascii="方正仿宋_GBK" w:hAnsi="宋体" w:eastAsia="方正仿宋_GBK"/>
        </w:rPr>
        <w:sectPr>
          <w:footerReference r:id="rId8" w:type="default"/>
          <w:pgSz w:w="11906" w:h="16838"/>
          <w:pgMar w:top="1429" w:right="1106" w:bottom="1571" w:left="1077" w:header="851" w:footer="1247" w:gutter="0"/>
          <w:cols w:space="425" w:num="1"/>
          <w:docGrid w:type="linesAndChars" w:linePitch="287" w:charSpace="0"/>
        </w:sectPr>
      </w:pPr>
      <w:r>
        <w:rPr>
          <w:rFonts w:hint="eastAsia" w:ascii="方正仿宋_GBK" w:hAnsi="宋体" w:eastAsia="方正仿宋_GBK"/>
        </w:rPr>
        <w:t xml:space="preserve">年  月  </w:t>
      </w:r>
    </w:p>
    <w:p>
      <w:pPr>
        <w:pStyle w:val="5"/>
        <w:rPr>
          <w:rFonts w:ascii="方正黑体_GBK" w:hAnsi="宋体" w:eastAsia="方正黑体_GBK"/>
          <w:b w:val="0"/>
        </w:rPr>
      </w:pPr>
      <w:r>
        <w:rPr>
          <w:rFonts w:hint="eastAsia" w:ascii="方正黑体_GBK" w:hAnsi="宋体" w:eastAsia="方正黑体_GBK"/>
          <w:b w:val="0"/>
        </w:rPr>
        <w:t>附录2</w:t>
      </w:r>
    </w:p>
    <w:p/>
    <w:p>
      <w:pPr>
        <w:tabs>
          <w:tab w:val="left" w:pos="6300"/>
        </w:tabs>
        <w:spacing w:line="400" w:lineRule="atLeast"/>
        <w:jc w:val="center"/>
        <w:outlineLvl w:val="0"/>
        <w:rPr>
          <w:rFonts w:ascii="方正仿宋_GBK" w:hAnsi="宋体" w:eastAsia="方正仿宋_GBK"/>
          <w:sz w:val="32"/>
          <w:szCs w:val="32"/>
        </w:rPr>
      </w:pPr>
      <w:r>
        <w:rPr>
          <w:rFonts w:hint="eastAsia" w:ascii="方正仿宋_GBK" w:hAnsi="宋体" w:eastAsia="方正仿宋_GBK"/>
          <w:b/>
          <w:sz w:val="32"/>
          <w:szCs w:val="32"/>
        </w:rPr>
        <w:t>法定代表人身份证明书</w:t>
      </w:r>
      <w:r>
        <w:rPr>
          <w:rFonts w:hint="eastAsia" w:ascii="方正仿宋_GBK" w:hAnsi="宋体" w:eastAsia="方正仿宋_GBK"/>
          <w:sz w:val="32"/>
          <w:szCs w:val="32"/>
        </w:rPr>
        <w:t>（格式）</w:t>
      </w:r>
    </w:p>
    <w:p>
      <w:pPr>
        <w:tabs>
          <w:tab w:val="left" w:pos="6300"/>
        </w:tabs>
        <w:spacing w:line="500" w:lineRule="atLeast"/>
        <w:rPr>
          <w:rFonts w:ascii="方正仿宋_GBK" w:hAnsi="宋体" w:eastAsia="方正仿宋_GBK"/>
          <w:szCs w:val="28"/>
        </w:rPr>
      </w:pPr>
    </w:p>
    <w:p>
      <w:pPr>
        <w:tabs>
          <w:tab w:val="left" w:pos="6300"/>
        </w:tabs>
        <w:spacing w:line="360" w:lineRule="auto"/>
        <w:ind w:firstLine="640" w:firstLineChars="267"/>
        <w:rPr>
          <w:rFonts w:ascii="方正仿宋_GBK" w:hAnsi="宋体" w:eastAsia="方正仿宋_GBK"/>
          <w:sz w:val="24"/>
        </w:rPr>
      </w:pPr>
      <w:r>
        <w:rPr>
          <w:rFonts w:hint="eastAsia" w:ascii="方正仿宋_GBK" w:hAnsi="宋体" w:eastAsia="方正仿宋_GBK"/>
          <w:sz w:val="24"/>
        </w:rPr>
        <w:t>（法定代表人姓名）在（单位名称）任（职务名称）职务，是</w:t>
      </w:r>
      <w:r>
        <w:rPr>
          <w:rFonts w:ascii="方正仿宋_GBK" w:hAnsi="宋体" w:eastAsia="方正仿宋_GBK"/>
          <w:sz w:val="24"/>
        </w:rPr>
        <w:t>_________________</w:t>
      </w:r>
      <w:r>
        <w:rPr>
          <w:rFonts w:hint="eastAsia" w:ascii="方正仿宋_GBK" w:hAnsi="宋体" w:eastAsia="方正仿宋_GBK"/>
          <w:sz w:val="24"/>
        </w:rPr>
        <w:t>（报价人单位名称）的法定代表人。</w:t>
      </w:r>
    </w:p>
    <w:p>
      <w:pPr>
        <w:tabs>
          <w:tab w:val="left" w:pos="6300"/>
        </w:tabs>
        <w:spacing w:line="500" w:lineRule="atLeast"/>
        <w:ind w:firstLine="573"/>
        <w:rPr>
          <w:rFonts w:ascii="方正仿宋_GBK" w:hAnsi="宋体" w:eastAsia="方正仿宋_GBK"/>
          <w:sz w:val="24"/>
        </w:rPr>
      </w:pPr>
    </w:p>
    <w:p>
      <w:pPr>
        <w:tabs>
          <w:tab w:val="left" w:pos="6300"/>
        </w:tabs>
        <w:spacing w:line="500" w:lineRule="atLeast"/>
        <w:ind w:firstLine="573"/>
        <w:outlineLvl w:val="0"/>
        <w:rPr>
          <w:rFonts w:ascii="方正仿宋_GBK" w:hAnsi="宋体" w:eastAsia="方正仿宋_GBK"/>
          <w:sz w:val="24"/>
        </w:rPr>
      </w:pPr>
      <w:r>
        <w:rPr>
          <w:rFonts w:hint="eastAsia" w:ascii="方正仿宋_GBK" w:hAnsi="宋体" w:eastAsia="方正仿宋_GBK"/>
          <w:sz w:val="24"/>
        </w:rPr>
        <w:t>特此证明。</w:t>
      </w:r>
    </w:p>
    <w:p>
      <w:pPr>
        <w:tabs>
          <w:tab w:val="left" w:pos="6300"/>
        </w:tabs>
        <w:spacing w:line="400" w:lineRule="atLeast"/>
        <w:rPr>
          <w:rFonts w:ascii="方正仿宋简体" w:hAnsi="宋体" w:eastAsia="方正仿宋简体"/>
          <w:sz w:val="24"/>
        </w:rPr>
      </w:pPr>
    </w:p>
    <w:p>
      <w:pPr>
        <w:tabs>
          <w:tab w:val="left" w:pos="6300"/>
        </w:tabs>
        <w:spacing w:line="400" w:lineRule="atLeast"/>
        <w:rPr>
          <w:rFonts w:ascii="方正仿宋简体" w:hAnsi="宋体" w:eastAsia="方正仿宋简体"/>
          <w:sz w:val="24"/>
        </w:rPr>
      </w:pPr>
    </w:p>
    <w:p>
      <w:pPr>
        <w:tabs>
          <w:tab w:val="left" w:pos="6300"/>
        </w:tabs>
        <w:spacing w:line="400" w:lineRule="atLeast"/>
        <w:rPr>
          <w:rFonts w:ascii="方正仿宋简体" w:hAnsi="宋体" w:eastAsia="方正仿宋简体"/>
          <w:sz w:val="24"/>
        </w:rPr>
      </w:pPr>
    </w:p>
    <w:p>
      <w:pPr>
        <w:tabs>
          <w:tab w:val="left" w:pos="6300"/>
        </w:tabs>
        <w:spacing w:line="400" w:lineRule="atLeast"/>
        <w:rPr>
          <w:rFonts w:ascii="方正仿宋简体" w:hAnsi="宋体" w:eastAsia="方正仿宋简体"/>
          <w:sz w:val="24"/>
        </w:rPr>
      </w:pPr>
    </w:p>
    <w:p>
      <w:pPr>
        <w:tabs>
          <w:tab w:val="left" w:pos="6300"/>
        </w:tabs>
        <w:spacing w:line="400" w:lineRule="atLeast"/>
        <w:rPr>
          <w:rFonts w:ascii="方正仿宋简体" w:hAnsi="宋体" w:eastAsia="方正仿宋简体"/>
          <w:sz w:val="24"/>
        </w:rPr>
      </w:pPr>
    </w:p>
    <w:p>
      <w:pPr>
        <w:tabs>
          <w:tab w:val="left" w:pos="6300"/>
        </w:tabs>
        <w:spacing w:line="440" w:lineRule="atLeast"/>
        <w:outlineLvl w:val="0"/>
        <w:rPr>
          <w:rFonts w:ascii="方正仿宋_GBK" w:hAnsi="宋体" w:eastAsia="方正仿宋_GBK"/>
          <w:sz w:val="24"/>
        </w:rPr>
      </w:pPr>
      <w:r>
        <w:rPr>
          <w:rFonts w:hint="eastAsia" w:ascii="方正仿宋_GBK" w:hAnsi="宋体" w:eastAsia="方正仿宋_GBK"/>
          <w:sz w:val="24"/>
        </w:rPr>
        <w:t>（报价人全称）</w:t>
      </w:r>
    </w:p>
    <w:p>
      <w:pPr>
        <w:tabs>
          <w:tab w:val="left" w:pos="6300"/>
        </w:tabs>
        <w:spacing w:line="440" w:lineRule="atLeast"/>
        <w:rPr>
          <w:rFonts w:ascii="方正仿宋_GBK" w:hAnsi="宋体" w:eastAsia="方正仿宋_GBK"/>
          <w:sz w:val="24"/>
        </w:rPr>
      </w:pPr>
      <w:r>
        <w:rPr>
          <w:rFonts w:hint="eastAsia" w:ascii="方正仿宋_GBK" w:hAnsi="宋体" w:eastAsia="方正仿宋_GBK"/>
          <w:sz w:val="24"/>
        </w:rPr>
        <w:t>年月日</w:t>
      </w:r>
    </w:p>
    <w:p>
      <w:pPr>
        <w:tabs>
          <w:tab w:val="left" w:pos="6300"/>
        </w:tabs>
        <w:spacing w:line="440" w:lineRule="atLeast"/>
        <w:rPr>
          <w:rFonts w:ascii="方正仿宋_GBK" w:hAnsi="宋体" w:eastAsia="方正仿宋_GBK"/>
          <w:sz w:val="24"/>
        </w:rPr>
      </w:pPr>
      <w:r>
        <w:rPr>
          <w:rFonts w:hint="eastAsia" w:ascii="方正仿宋_GBK" w:hAnsi="宋体" w:eastAsia="方正仿宋_GBK"/>
          <w:sz w:val="24"/>
        </w:rPr>
        <w:t>（公章）</w:t>
      </w:r>
    </w:p>
    <w:p>
      <w:pPr>
        <w:tabs>
          <w:tab w:val="left" w:pos="6300"/>
        </w:tabs>
        <w:spacing w:line="440" w:lineRule="atLeast"/>
        <w:rPr>
          <w:rFonts w:ascii="方正仿宋简体" w:hAnsi="宋体" w:eastAsia="方正仿宋简体"/>
          <w:sz w:val="24"/>
        </w:rPr>
      </w:pPr>
    </w:p>
    <w:p>
      <w:pPr>
        <w:tabs>
          <w:tab w:val="left" w:pos="6300"/>
        </w:tabs>
        <w:spacing w:line="440" w:lineRule="atLeast"/>
        <w:rPr>
          <w:rFonts w:ascii="方正仿宋_GBK" w:hAnsi="宋体" w:eastAsia="方正仿宋_GBK"/>
          <w:sz w:val="24"/>
        </w:rPr>
      </w:pPr>
      <w:r>
        <w:rPr>
          <w:rFonts w:hint="eastAsia" w:ascii="方正仿宋_GBK" w:hAnsi="宋体" w:eastAsia="方正仿宋_GBK"/>
          <w:sz w:val="24"/>
        </w:rPr>
        <w:t>附：上述法定代表人住址：</w:t>
      </w:r>
    </w:p>
    <w:p>
      <w:pPr>
        <w:tabs>
          <w:tab w:val="left" w:pos="6300"/>
        </w:tabs>
        <w:spacing w:line="440" w:lineRule="atLeast"/>
        <w:rPr>
          <w:rFonts w:ascii="方正仿宋_GBK" w:hAnsi="宋体" w:eastAsia="方正仿宋_GBK"/>
          <w:sz w:val="24"/>
        </w:rPr>
      </w:pPr>
      <w:r>
        <w:rPr>
          <w:rFonts w:hint="eastAsia" w:ascii="方正仿宋_GBK" w:hAnsi="宋体" w:eastAsia="方正仿宋_GBK"/>
          <w:sz w:val="24"/>
        </w:rPr>
        <w:t>身份证号码：</w:t>
      </w:r>
    </w:p>
    <w:p>
      <w:pPr>
        <w:tabs>
          <w:tab w:val="left" w:pos="6300"/>
        </w:tabs>
        <w:spacing w:line="440" w:lineRule="atLeast"/>
        <w:rPr>
          <w:rFonts w:ascii="方正仿宋_GBK" w:hAnsi="宋体" w:eastAsia="方正仿宋_GBK"/>
          <w:sz w:val="24"/>
        </w:rPr>
      </w:pPr>
      <w:r>
        <w:rPr>
          <w:rFonts w:hint="eastAsia" w:ascii="方正仿宋_GBK" w:hAnsi="宋体" w:eastAsia="方正仿宋_GBK"/>
          <w:sz w:val="24"/>
        </w:rPr>
        <w:t>电传：</w:t>
      </w:r>
    </w:p>
    <w:p>
      <w:pPr>
        <w:tabs>
          <w:tab w:val="left" w:pos="6300"/>
        </w:tabs>
        <w:spacing w:line="440" w:lineRule="atLeast"/>
        <w:rPr>
          <w:rFonts w:ascii="方正仿宋_GBK" w:hAnsi="宋体" w:eastAsia="方正仿宋_GBK"/>
          <w:sz w:val="24"/>
        </w:rPr>
      </w:pPr>
      <w:r>
        <w:rPr>
          <w:rFonts w:hint="eastAsia" w:ascii="方正仿宋_GBK" w:hAnsi="宋体" w:eastAsia="方正仿宋_GBK"/>
          <w:sz w:val="24"/>
        </w:rPr>
        <w:t>网址：</w:t>
      </w:r>
    </w:p>
    <w:p>
      <w:pPr>
        <w:tabs>
          <w:tab w:val="left" w:pos="6300"/>
        </w:tabs>
        <w:spacing w:line="440" w:lineRule="atLeast"/>
        <w:rPr>
          <w:rFonts w:ascii="方正仿宋_GBK" w:hAnsi="宋体" w:eastAsia="方正仿宋_GBK"/>
          <w:sz w:val="24"/>
        </w:rPr>
      </w:pPr>
      <w:r>
        <w:rPr>
          <w:rFonts w:hint="eastAsia" w:ascii="方正仿宋_GBK" w:hAnsi="宋体" w:eastAsia="方正仿宋_GBK"/>
          <w:sz w:val="24"/>
        </w:rPr>
        <w:t>邮政编码：</w:t>
      </w:r>
    </w:p>
    <w:p>
      <w:pPr>
        <w:tabs>
          <w:tab w:val="left" w:pos="6300"/>
        </w:tabs>
        <w:spacing w:line="440" w:lineRule="atLeast"/>
        <w:rPr>
          <w:rFonts w:ascii="方正仿宋简体" w:hAnsi="宋体" w:eastAsia="方正仿宋简体"/>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39370</wp:posOffset>
                </wp:positionV>
                <wp:extent cx="2476500" cy="1529715"/>
                <wp:effectExtent l="0" t="0" r="19050" b="13335"/>
                <wp:wrapNone/>
                <wp:docPr id="2" name="Quad Arrow 2"/>
                <wp:cNvGraphicFramePr/>
                <a:graphic xmlns:a="http://schemas.openxmlformats.org/drawingml/2006/main">
                  <a:graphicData uri="http://schemas.microsoft.com/office/word/2010/wordprocessingShape">
                    <wps:wsp>
                      <wps:cNvSpPr txBox="1">
                        <a:spLocks noChangeArrowheads="1"/>
                      </wps:cNvSpPr>
                      <wps:spPr bwMode="auto">
                        <a:xfrm>
                          <a:off x="0" y="0"/>
                          <a:ext cx="2476500" cy="1529715"/>
                        </a:xfrm>
                        <a:prstGeom prst="rect">
                          <a:avLst/>
                        </a:prstGeom>
                        <a:solidFill>
                          <a:srgbClr val="FFFFFF"/>
                        </a:solidFill>
                        <a:ln w="9525">
                          <a:solidFill>
                            <a:srgbClr val="000000"/>
                          </a:solidFill>
                          <a:miter lim="200000"/>
                        </a:ln>
                        <a:effectLst/>
                      </wps:spPr>
                      <wps:txbx>
                        <w:txbxContent>
                          <w:p/>
                          <w:p/>
                          <w:p/>
                          <w:p>
                            <w:pPr>
                              <w:jc w:val="center"/>
                            </w:pPr>
                            <w:r>
                              <w:rPr>
                                <w:rFonts w:hint="eastAsia"/>
                              </w:rPr>
                              <w:t>此处粘贴身份证复印件</w:t>
                            </w:r>
                          </w:p>
                        </w:txbxContent>
                      </wps:txbx>
                      <wps:bodyPr rot="0" vert="horz" wrap="square" lIns="91440" tIns="45720" rIns="91440" bIns="45720" anchor="t" anchorCtr="0" upright="1">
                        <a:noAutofit/>
                      </wps:bodyPr>
                    </wps:wsp>
                  </a:graphicData>
                </a:graphic>
              </wp:anchor>
            </w:drawing>
          </mc:Choice>
          <mc:Fallback>
            <w:pict>
              <v:shape id="Quad Arrow 2" o:spid="_x0000_s1026" o:spt="202" type="#_x0000_t202" style="position:absolute;left:0pt;margin-left:0pt;margin-top:3.1pt;height:120.45pt;width:195pt;z-index:251660288;mso-width-relative:page;mso-height-relative:page;" fillcolor="#FFFFFF" filled="t" stroked="t" coordsize="21600,21600" o:gfxdata="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s38UH1wAAAAYB&#10;AAAPAAAAAAAAAAEAIAAAACIAAABkcnMvZG93bnJldi54bWxQSwECFAAUAAAACACHTuJAQOr/7hwC&#10;AABJBAAADgAAAAAAAAABACAAAAAmAQAAZHJzL2Uyb0RvYy54bWxQSwUGAAAAAAYABgBZAQAAtAUA&#10;AAAA&#10;">
                <v:fill on="t" focussize="0,0"/>
                <v:stroke color="#000000" miterlimit="2" joinstyle="miter"/>
                <v:imagedata o:title=""/>
                <o:lock v:ext="edit" aspectratio="f"/>
                <v:textbox>
                  <w:txbxContent>
                    <w:p/>
                    <w:p/>
                    <w:p/>
                    <w:p>
                      <w:pPr>
                        <w:jc w:val="center"/>
                      </w:pPr>
                      <w:r>
                        <w:rPr>
                          <w:rFonts w:hint="eastAsia"/>
                        </w:rPr>
                        <w:t>此处粘贴身份证复印件</w:t>
                      </w:r>
                    </w:p>
                  </w:txbxContent>
                </v:textbox>
              </v:shape>
            </w:pict>
          </mc:Fallback>
        </mc:AlternateContent>
      </w:r>
    </w:p>
    <w:p>
      <w:pPr>
        <w:tabs>
          <w:tab w:val="left" w:pos="6300"/>
        </w:tabs>
        <w:spacing w:line="400" w:lineRule="atLeast"/>
        <w:rPr>
          <w:rFonts w:ascii="方正仿宋简体" w:hAnsi="宋体" w:eastAsia="方正仿宋简体"/>
        </w:rPr>
      </w:pPr>
    </w:p>
    <w:p>
      <w:pPr>
        <w:tabs>
          <w:tab w:val="left" w:pos="6300"/>
        </w:tabs>
        <w:spacing w:line="400" w:lineRule="atLeast"/>
        <w:rPr>
          <w:rFonts w:ascii="方正仿宋简体" w:hAnsi="宋体" w:eastAsia="方正仿宋简体"/>
        </w:rPr>
      </w:pPr>
    </w:p>
    <w:p>
      <w:pPr>
        <w:tabs>
          <w:tab w:val="left" w:pos="6300"/>
        </w:tabs>
        <w:spacing w:line="400" w:lineRule="atLeast"/>
        <w:rPr>
          <w:rFonts w:ascii="方正仿宋简体" w:hAnsi="宋体" w:eastAsia="方正仿宋简体"/>
        </w:rPr>
      </w:pPr>
    </w:p>
    <w:p>
      <w:pPr>
        <w:spacing w:line="360" w:lineRule="auto"/>
        <w:ind w:firstLine="560" w:firstLineChars="200"/>
        <w:rPr>
          <w:rFonts w:ascii="方正仿宋简体" w:hAnsi="宋体" w:eastAsia="方正仿宋简体"/>
          <w:bdr w:val="single" w:color="auto" w:sz="4" w:space="0"/>
        </w:rPr>
      </w:pPr>
    </w:p>
    <w:p>
      <w:pPr>
        <w:spacing w:line="360" w:lineRule="auto"/>
        <w:ind w:firstLine="560" w:firstLineChars="200"/>
        <w:rPr>
          <w:rFonts w:ascii="方正仿宋简体" w:hAnsi="宋体" w:eastAsia="方正仿宋简体"/>
          <w:bdr w:val="single" w:color="auto" w:sz="4" w:space="0"/>
        </w:rPr>
      </w:pPr>
    </w:p>
    <w:p>
      <w:pPr>
        <w:pStyle w:val="5"/>
        <w:rPr>
          <w:rFonts w:ascii="方正黑体_GBK" w:hAnsi="宋体" w:eastAsia="方正黑体_GBK"/>
        </w:rPr>
      </w:pPr>
      <w:bookmarkStart w:id="2" w:name="_Toc12789076"/>
      <w:r>
        <w:rPr>
          <w:rFonts w:hint="eastAsia" w:ascii="方正黑体_GBK" w:hAnsi="宋体" w:eastAsia="方正黑体_GBK"/>
        </w:rPr>
        <w:t>附录</w:t>
      </w:r>
      <w:bookmarkEnd w:id="2"/>
      <w:r>
        <w:rPr>
          <w:rFonts w:hint="eastAsia" w:ascii="方正黑体_GBK" w:hAnsi="宋体" w:eastAsia="方正黑体_GBK"/>
        </w:rPr>
        <w:t>3</w:t>
      </w:r>
    </w:p>
    <w:p>
      <w:pPr>
        <w:tabs>
          <w:tab w:val="left" w:pos="6300"/>
        </w:tabs>
        <w:spacing w:line="400" w:lineRule="atLeast"/>
        <w:jc w:val="center"/>
        <w:outlineLvl w:val="0"/>
        <w:rPr>
          <w:rFonts w:ascii="方正仿宋_GBK" w:hAnsi="宋体" w:eastAsia="方正仿宋_GBK"/>
          <w:sz w:val="44"/>
        </w:rPr>
      </w:pPr>
      <w:r>
        <w:rPr>
          <w:rFonts w:hint="eastAsia" w:ascii="方正仿宋_GBK" w:hAnsi="宋体" w:eastAsia="方正仿宋_GBK"/>
          <w:b/>
          <w:sz w:val="32"/>
          <w:szCs w:val="32"/>
        </w:rPr>
        <w:t>法定代表人授权委托书（</w:t>
      </w:r>
      <w:r>
        <w:rPr>
          <w:rFonts w:hint="eastAsia" w:ascii="方正仿宋_GBK" w:hAnsi="宋体" w:eastAsia="方正仿宋_GBK"/>
          <w:sz w:val="32"/>
          <w:szCs w:val="32"/>
        </w:rPr>
        <w:t>格式</w:t>
      </w:r>
      <w:r>
        <w:rPr>
          <w:rFonts w:hint="eastAsia" w:ascii="方正仿宋_GBK" w:hAnsi="宋体" w:eastAsia="方正仿宋_GBK"/>
          <w:b/>
          <w:sz w:val="32"/>
          <w:szCs w:val="32"/>
        </w:rPr>
        <w:t>）</w:t>
      </w:r>
    </w:p>
    <w:p>
      <w:pPr>
        <w:pStyle w:val="10"/>
        <w:tabs>
          <w:tab w:val="left" w:pos="6300"/>
        </w:tabs>
        <w:spacing w:line="400" w:lineRule="atLeast"/>
        <w:ind w:left="7000"/>
        <w:rPr>
          <w:rFonts w:ascii="方正仿宋_GBK" w:hAnsi="宋体" w:eastAsia="方正仿宋_GBK"/>
        </w:rPr>
      </w:pPr>
    </w:p>
    <w:p>
      <w:pPr>
        <w:tabs>
          <w:tab w:val="left" w:pos="6300"/>
        </w:tabs>
        <w:spacing w:line="600" w:lineRule="atLeast"/>
        <w:rPr>
          <w:rFonts w:ascii="方正仿宋_GBK" w:hAnsi="宋体" w:eastAsia="方正仿宋_GBK"/>
          <w:sz w:val="24"/>
        </w:rPr>
      </w:pPr>
      <w:r>
        <w:rPr>
          <w:rFonts w:hint="eastAsia" w:ascii="方正仿宋_GBK" w:hAnsi="宋体" w:eastAsia="方正仿宋_GBK"/>
          <w:sz w:val="24"/>
        </w:rPr>
        <w:t>项目名称：</w:t>
      </w:r>
      <w:r>
        <w:rPr>
          <w:rFonts w:ascii="方正仿宋_GBK" w:hAnsi="宋体" w:eastAsia="方正仿宋_GBK"/>
          <w:sz w:val="24"/>
        </w:rPr>
        <w:t>_______________</w:t>
      </w:r>
    </w:p>
    <w:p>
      <w:pPr>
        <w:tabs>
          <w:tab w:val="left" w:pos="6300"/>
        </w:tabs>
        <w:spacing w:line="600" w:lineRule="atLeast"/>
        <w:rPr>
          <w:rFonts w:ascii="方正仿宋_GBK" w:hAnsi="宋体" w:eastAsia="方正仿宋_GBK"/>
          <w:sz w:val="24"/>
        </w:rPr>
      </w:pPr>
      <w:r>
        <w:rPr>
          <w:rFonts w:hint="eastAsia" w:ascii="方正仿宋_GBK" w:hAnsi="宋体" w:eastAsia="方正仿宋_GBK"/>
          <w:sz w:val="24"/>
        </w:rPr>
        <w:t>日期：</w:t>
      </w:r>
      <w:r>
        <w:rPr>
          <w:rFonts w:ascii="方正仿宋_GBK" w:hAnsi="宋体" w:eastAsia="方正仿宋_GBK"/>
          <w:sz w:val="24"/>
        </w:rPr>
        <w:t>_______________</w:t>
      </w:r>
    </w:p>
    <w:p>
      <w:pPr>
        <w:tabs>
          <w:tab w:val="left" w:pos="6300"/>
        </w:tabs>
        <w:spacing w:line="600" w:lineRule="atLeast"/>
        <w:rPr>
          <w:rFonts w:ascii="方正仿宋_GBK" w:hAnsi="宋体" w:eastAsia="方正仿宋_GBK"/>
          <w:sz w:val="24"/>
        </w:rPr>
      </w:pPr>
      <w:r>
        <w:rPr>
          <w:rFonts w:hint="eastAsia" w:ascii="方正仿宋_GBK" w:hAnsi="宋体" w:eastAsia="方正仿宋_GBK"/>
          <w:sz w:val="24"/>
        </w:rPr>
        <w:t>致：</w:t>
      </w:r>
      <w:r>
        <w:rPr>
          <w:rFonts w:ascii="方正仿宋_GBK" w:hAnsi="宋体" w:eastAsia="方正仿宋_GBK"/>
          <w:sz w:val="24"/>
        </w:rPr>
        <w:t>_____________________</w:t>
      </w:r>
      <w:r>
        <w:rPr>
          <w:rFonts w:hint="eastAsia" w:ascii="方正仿宋_GBK" w:hAnsi="宋体" w:eastAsia="方正仿宋_GBK"/>
          <w:sz w:val="24"/>
        </w:rPr>
        <w:t>（询价采购代理机构名称）</w:t>
      </w:r>
    </w:p>
    <w:p>
      <w:pPr>
        <w:tabs>
          <w:tab w:val="left" w:pos="6300"/>
        </w:tabs>
        <w:spacing w:line="600" w:lineRule="atLeast"/>
        <w:ind w:firstLine="555"/>
        <w:rPr>
          <w:rFonts w:ascii="方正仿宋_GBK" w:hAnsi="宋体" w:eastAsia="方正仿宋_GBK"/>
          <w:sz w:val="24"/>
        </w:rPr>
      </w:pPr>
      <w:r>
        <w:rPr>
          <w:rFonts w:ascii="方正仿宋_GBK" w:hAnsi="宋体" w:eastAsia="方正仿宋_GBK"/>
          <w:sz w:val="24"/>
        </w:rPr>
        <w:t>_____________________</w:t>
      </w:r>
      <w:r>
        <w:rPr>
          <w:rFonts w:hint="eastAsia" w:ascii="方正仿宋_GBK" w:hAnsi="宋体" w:eastAsia="方正仿宋_GBK"/>
          <w:sz w:val="24"/>
        </w:rPr>
        <w:t>（报价人名称）是中华人民共和国合法企业，法定地址</w:t>
      </w:r>
      <w:r>
        <w:rPr>
          <w:rFonts w:ascii="方正仿宋_GBK" w:hAnsi="宋体" w:eastAsia="方正仿宋_GBK"/>
          <w:sz w:val="24"/>
        </w:rPr>
        <w:t>______________________________</w:t>
      </w:r>
      <w:r>
        <w:rPr>
          <w:rFonts w:hint="eastAsia" w:ascii="方正仿宋_GBK" w:hAnsi="宋体" w:eastAsia="方正仿宋_GBK"/>
          <w:sz w:val="24"/>
        </w:rPr>
        <w:t>。</w:t>
      </w:r>
    </w:p>
    <w:p>
      <w:pPr>
        <w:tabs>
          <w:tab w:val="left" w:pos="6300"/>
        </w:tabs>
        <w:spacing w:line="600" w:lineRule="atLeast"/>
        <w:ind w:firstLine="555"/>
        <w:rPr>
          <w:rFonts w:ascii="方正仿宋_GBK" w:hAnsi="宋体" w:eastAsia="方正仿宋_GBK"/>
          <w:sz w:val="24"/>
        </w:rPr>
      </w:pPr>
      <w:r>
        <w:rPr>
          <w:rFonts w:ascii="方正仿宋_GBK" w:hAnsi="宋体" w:eastAsia="方正仿宋_GBK"/>
          <w:sz w:val="24"/>
        </w:rPr>
        <w:t xml:space="preserve"> _________</w:t>
      </w:r>
      <w:r>
        <w:rPr>
          <w:rFonts w:hint="eastAsia" w:ascii="方正仿宋_GBK" w:hAnsi="宋体" w:eastAsia="方正仿宋_GBK"/>
          <w:sz w:val="24"/>
        </w:rPr>
        <w:t>（报价人法定代表人姓名）特授权</w:t>
      </w:r>
      <w:r>
        <w:rPr>
          <w:rFonts w:ascii="方正仿宋_GBK" w:hAnsi="宋体" w:eastAsia="方正仿宋_GBK"/>
          <w:sz w:val="24"/>
        </w:rPr>
        <w:t>_________</w:t>
      </w:r>
      <w:r>
        <w:rPr>
          <w:rFonts w:hint="eastAsia" w:ascii="方正仿宋_GBK" w:hAnsi="宋体" w:eastAsia="方正仿宋_GBK"/>
          <w:sz w:val="24"/>
        </w:rPr>
        <w:t>（被授权人姓名及身份证代码）代表我单位全权办理对上述项目报价、签约等具体工作，并签署全部有关的文件、协议及合同。</w:t>
      </w:r>
    </w:p>
    <w:p>
      <w:pPr>
        <w:tabs>
          <w:tab w:val="left" w:pos="6300"/>
        </w:tabs>
        <w:spacing w:line="600" w:lineRule="atLeast"/>
        <w:ind w:firstLine="555"/>
        <w:rPr>
          <w:rFonts w:ascii="方正仿宋_GBK" w:hAnsi="宋体" w:eastAsia="方正仿宋_GBK"/>
          <w:sz w:val="24"/>
        </w:rPr>
      </w:pPr>
      <w:r>
        <w:rPr>
          <w:rFonts w:hint="eastAsia" w:ascii="方正仿宋_GBK" w:hAnsi="宋体" w:eastAsia="方正仿宋_GBK"/>
          <w:sz w:val="24"/>
        </w:rPr>
        <w:t>我单位对被授权人的签名负全部责任。</w:t>
      </w:r>
    </w:p>
    <w:p>
      <w:pPr>
        <w:tabs>
          <w:tab w:val="left" w:pos="6300"/>
        </w:tabs>
        <w:spacing w:line="600" w:lineRule="atLeast"/>
        <w:ind w:firstLine="555"/>
        <w:rPr>
          <w:rFonts w:ascii="方正仿宋_GBK" w:hAnsi="宋体" w:eastAsia="方正仿宋_GBK"/>
          <w:sz w:val="24"/>
        </w:rPr>
      </w:pPr>
      <w:r>
        <w:rPr>
          <w:rFonts w:hint="eastAsia" w:ascii="方正仿宋_GBK" w:hAnsi="宋体" w:eastAsia="方正仿宋_GBK"/>
          <w:sz w:val="24"/>
        </w:rPr>
        <w:t>在撤消授权的书面通知以前，本授权书一直有效。被授权人签署的所有文件（在授权书有效期内签署的）不因授权的撤消而失效。</w:t>
      </w:r>
    </w:p>
    <w:p>
      <w:pPr>
        <w:tabs>
          <w:tab w:val="left" w:pos="6300"/>
        </w:tabs>
        <w:spacing w:line="600" w:lineRule="atLeast"/>
        <w:rPr>
          <w:rFonts w:ascii="方正仿宋_GBK" w:hAnsi="宋体" w:eastAsia="方正仿宋_GBK"/>
          <w:sz w:val="24"/>
        </w:rPr>
      </w:pPr>
    </w:p>
    <w:p>
      <w:pPr>
        <w:tabs>
          <w:tab w:val="left" w:pos="6300"/>
        </w:tabs>
        <w:spacing w:line="600" w:lineRule="atLeast"/>
        <w:rPr>
          <w:rFonts w:ascii="方正仿宋简体" w:hAnsi="宋体" w:eastAsia="方正仿宋简体"/>
          <w:sz w:val="24"/>
        </w:rPr>
      </w:pPr>
    </w:p>
    <w:p>
      <w:pPr>
        <w:tabs>
          <w:tab w:val="left" w:pos="6300"/>
        </w:tabs>
        <w:spacing w:line="600" w:lineRule="atLeast"/>
        <w:rPr>
          <w:rFonts w:ascii="方正仿宋_GBK" w:hAnsi="宋体" w:eastAsia="方正仿宋_GBK"/>
          <w:sz w:val="24"/>
        </w:rPr>
      </w:pPr>
      <w:r>
        <w:rPr>
          <w:rFonts w:hint="eastAsia" w:ascii="方正仿宋_GBK" w:hAnsi="宋体" w:eastAsia="方正仿宋_GBK"/>
          <w:sz w:val="24"/>
        </w:rPr>
        <w:t>被授权人签名：法定代表人签名：</w:t>
      </w:r>
    </w:p>
    <w:p>
      <w:pPr>
        <w:tabs>
          <w:tab w:val="left" w:pos="6300"/>
        </w:tabs>
        <w:spacing w:line="600" w:lineRule="atLeast"/>
        <w:rPr>
          <w:rFonts w:ascii="方正仿宋_GBK" w:hAnsi="宋体" w:eastAsia="方正仿宋_GBK"/>
          <w:sz w:val="24"/>
        </w:rPr>
      </w:pPr>
      <w:r>
        <mc:AlternateContent>
          <mc:Choice Requires="wps">
            <w:drawing>
              <wp:anchor distT="0" distB="0" distL="114300" distR="114300" simplePos="0" relativeHeight="251661312" behindDoc="0" locked="0" layoutInCell="1" allowOverlap="1">
                <wp:simplePos x="0" y="0"/>
                <wp:positionH relativeFrom="column">
                  <wp:posOffset>2678430</wp:posOffset>
                </wp:positionH>
                <wp:positionV relativeFrom="paragraph">
                  <wp:posOffset>365125</wp:posOffset>
                </wp:positionV>
                <wp:extent cx="2286000" cy="1495425"/>
                <wp:effectExtent l="0" t="0" r="19050" b="28575"/>
                <wp:wrapNone/>
                <wp:docPr id="1" name="Quad Arrow 3"/>
                <wp:cNvGraphicFramePr/>
                <a:graphic xmlns:a="http://schemas.openxmlformats.org/drawingml/2006/main">
                  <a:graphicData uri="http://schemas.microsoft.com/office/word/2010/wordprocessingShape">
                    <wps:wsp>
                      <wps:cNvSpPr txBox="1">
                        <a:spLocks noChangeArrowheads="1"/>
                      </wps:cNvSpPr>
                      <wps:spPr bwMode="auto">
                        <a:xfrm>
                          <a:off x="0" y="0"/>
                          <a:ext cx="2286000" cy="1495425"/>
                        </a:xfrm>
                        <a:prstGeom prst="rect">
                          <a:avLst/>
                        </a:prstGeom>
                        <a:solidFill>
                          <a:srgbClr val="FFFFFF"/>
                        </a:solidFill>
                        <a:ln w="9525">
                          <a:solidFill>
                            <a:srgbClr val="000000"/>
                          </a:solidFill>
                          <a:miter lim="200000"/>
                        </a:ln>
                        <a:effectLst/>
                      </wps:spPr>
                      <wps:txbx>
                        <w:txbxContent>
                          <w:p/>
                          <w:p/>
                          <w:p/>
                          <w:p>
                            <w:pPr>
                              <w:jc w:val="center"/>
                            </w:pPr>
                            <w:r>
                              <w:rPr>
                                <w:rFonts w:hint="eastAsia"/>
                              </w:rPr>
                              <w:t>此处粘贴身份证复印件</w:t>
                            </w:r>
                          </w:p>
                        </w:txbxContent>
                      </wps:txbx>
                      <wps:bodyPr rot="0" vert="horz" wrap="square" lIns="91440" tIns="45720" rIns="91440" bIns="45720" anchor="t" anchorCtr="0" upright="1">
                        <a:noAutofit/>
                      </wps:bodyPr>
                    </wps:wsp>
                  </a:graphicData>
                </a:graphic>
              </wp:anchor>
            </w:drawing>
          </mc:Choice>
          <mc:Fallback>
            <w:pict>
              <v:shape id="Quad Arrow 3" o:spid="_x0000_s1026" o:spt="202" type="#_x0000_t202" style="position:absolute;left:0pt;margin-left:210.9pt;margin-top:28.75pt;height:117.75pt;width:180pt;z-index:251661312;mso-width-relative:page;mso-height-relative:page;" fillcolor="#FFFFFF" filled="t" stroked="t" coordsize="21600,21600" o:gfxdata="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H3f89oA&#10;AAAKAQAADwAAAAAAAAABACAAAAAiAAAAZHJzL2Rvd25yZXYueG1sUEsBAhQAFAAAAAgAh07iQCQ4&#10;v8QdAgAASQQAAA4AAAAAAAAAAQAgAAAAKQEAAGRycy9lMm9Eb2MueG1sUEsFBgAAAAAGAAYAWQEA&#10;ALgFAAAAAA==&#10;">
                <v:fill on="t" focussize="0,0"/>
                <v:stroke color="#000000" miterlimit="2" joinstyle="miter"/>
                <v:imagedata o:title=""/>
                <o:lock v:ext="edit" aspectratio="f"/>
                <v:textbox>
                  <w:txbxContent>
                    <w:p/>
                    <w:p/>
                    <w:p/>
                    <w:p>
                      <w:pPr>
                        <w:jc w:val="center"/>
                      </w:pPr>
                      <w:r>
                        <w:rPr>
                          <w:rFonts w:hint="eastAsia"/>
                        </w:rPr>
                        <w:t>此处粘贴身份证复印件</w:t>
                      </w:r>
                    </w:p>
                  </w:txbxContent>
                </v:textbox>
              </v:shape>
            </w:pict>
          </mc:Fallback>
        </mc:AlternateContent>
      </w:r>
      <w:r>
        <w:rPr>
          <w:rFonts w:hint="eastAsia" w:ascii="方正仿宋_GBK" w:hAnsi="宋体" w:eastAsia="方正仿宋_GBK"/>
          <w:sz w:val="24"/>
        </w:rPr>
        <w:t>职务：职务：</w:t>
      </w:r>
    </w:p>
    <w:p>
      <w:pPr>
        <w:tabs>
          <w:tab w:val="left" w:pos="6300"/>
        </w:tabs>
        <w:spacing w:line="600" w:lineRule="atLeast"/>
        <w:rPr>
          <w:rFonts w:ascii="方正仿宋_GBK" w:hAnsi="宋体" w:eastAsia="方正仿宋_GBK"/>
          <w:sz w:val="24"/>
        </w:rPr>
      </w:pPr>
    </w:p>
    <w:p>
      <w:pPr>
        <w:tabs>
          <w:tab w:val="left" w:pos="6300"/>
        </w:tabs>
        <w:spacing w:line="600" w:lineRule="atLeast"/>
        <w:rPr>
          <w:rFonts w:ascii="方正仿宋_GBK" w:hAnsi="宋体" w:eastAsia="方正仿宋_GBK"/>
          <w:sz w:val="24"/>
        </w:rPr>
      </w:pPr>
    </w:p>
    <w:p>
      <w:pPr>
        <w:spacing w:line="360" w:lineRule="auto"/>
      </w:pPr>
      <w:r>
        <w:rPr>
          <w:rFonts w:hint="eastAsia" w:ascii="方正仿宋_GBK" w:hAnsi="宋体" w:eastAsia="方正仿宋_GBK"/>
          <w:sz w:val="24"/>
        </w:rPr>
        <w:t>报价人公章：</w:t>
      </w: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1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03282"/>
    </w:sdtPr>
    <w:sdtContent>
      <w:sdt>
        <w:sdtPr>
          <w:id w:val="171357217"/>
        </w:sdtPr>
        <w:sdtContent>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sdtContent>
      </w:sdt>
    </w:sdtContent>
  </w:sdt>
  <w:p>
    <w:pPr>
      <w:pStyle w:val="1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8</w:t>
    </w:r>
    <w:r>
      <w:rPr>
        <w:rStyle w:val="16"/>
      </w:rPr>
      <w:fldChar w:fldCharType="end"/>
    </w:r>
  </w:p>
  <w:p>
    <w:pPr>
      <w:pStyle w:val="12"/>
      <w:tabs>
        <w:tab w:val="left" w:pos="4200"/>
        <w:tab w:val="left" w:pos="4530"/>
        <w:tab w:val="clear" w:pos="8306"/>
      </w:tabs>
      <w:ind w:right="360"/>
    </w:pPr>
    <w:r>
      <w:tab/>
    </w: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10</w:t>
    </w:r>
    <w:r>
      <w:rPr>
        <w:rStyle w:val="16"/>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1"/>
      </w:rPr>
    </w:pPr>
    <w:r>
      <w:rPr>
        <w:rFonts w:hint="eastAsia"/>
        <w:sz w:val="21"/>
      </w:rPr>
      <w:t>重庆第二师范学院询价文件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1"/>
      </w:rPr>
    </w:pPr>
    <w:r>
      <w:rPr>
        <w:rFonts w:hint="eastAsia"/>
        <w:sz w:val="21"/>
      </w:rPr>
      <w:t>重庆市渝北区环境保护局询价文件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21"/>
      </w:rPr>
    </w:pPr>
    <w:r>
      <w:rPr>
        <w:rFonts w:hint="eastAsia"/>
        <w:sz w:val="21"/>
      </w:rPr>
      <w:t>重庆市第二师范学院询价文件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14"/>
    <w:rsid w:val="001C6214"/>
    <w:rsid w:val="00C27897"/>
    <w:rsid w:val="00ED6E59"/>
    <w:rsid w:val="144F6E18"/>
    <w:rsid w:val="4DED5A82"/>
    <w:rsid w:val="5F0013F0"/>
    <w:rsid w:val="6A8A5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21"/>
    <w:qFormat/>
    <w:uiPriority w:val="99"/>
    <w:pPr>
      <w:widowControl/>
      <w:spacing w:before="100" w:beforeAutospacing="1" w:after="100" w:afterAutospacing="1"/>
      <w:jc w:val="left"/>
      <w:outlineLvl w:val="0"/>
    </w:pPr>
    <w:rPr>
      <w:rFonts w:ascii="宋体"/>
      <w:b/>
      <w:bCs/>
      <w:kern w:val="36"/>
      <w:sz w:val="48"/>
      <w:szCs w:val="48"/>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3"/>
    <w:qFormat/>
    <w:uiPriority w:val="99"/>
    <w:pPr>
      <w:keepNext/>
      <w:keepLines/>
      <w:spacing w:before="280" w:after="290" w:line="376" w:lineRule="auto"/>
      <w:outlineLvl w:val="3"/>
    </w:pPr>
    <w:rPr>
      <w:rFonts w:ascii="Cambria" w:hAnsi="Cambria"/>
      <w:b/>
      <w:bCs/>
      <w:kern w:val="0"/>
      <w:szCs w:val="28"/>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31"/>
    <w:unhideWhenUsed/>
    <w:qFormat/>
    <w:uiPriority w:val="99"/>
    <w:rPr>
      <w:b/>
      <w:bCs/>
    </w:rPr>
  </w:style>
  <w:style w:type="paragraph" w:styleId="7">
    <w:name w:val="annotation text"/>
    <w:basedOn w:val="1"/>
    <w:link w:val="30"/>
    <w:unhideWhenUsed/>
    <w:qFormat/>
    <w:uiPriority w:val="99"/>
    <w:pPr>
      <w:jc w:val="left"/>
    </w:pPr>
  </w:style>
  <w:style w:type="paragraph" w:styleId="8">
    <w:name w:val="Normal Indent"/>
    <w:basedOn w:val="1"/>
    <w:qFormat/>
    <w:uiPriority w:val="99"/>
    <w:pPr>
      <w:adjustRightInd w:val="0"/>
      <w:spacing w:line="360" w:lineRule="auto"/>
      <w:ind w:firstLine="420"/>
    </w:pPr>
    <w:rPr>
      <w:sz w:val="24"/>
      <w:szCs w:val="20"/>
    </w:rPr>
  </w:style>
  <w:style w:type="paragraph" w:styleId="9">
    <w:name w:val="Body Text Indent"/>
    <w:basedOn w:val="1"/>
    <w:link w:val="24"/>
    <w:qFormat/>
    <w:uiPriority w:val="99"/>
    <w:pPr>
      <w:spacing w:line="700" w:lineRule="exact"/>
      <w:ind w:left="960"/>
    </w:pPr>
    <w:rPr>
      <w:sz w:val="44"/>
      <w:szCs w:val="20"/>
    </w:rPr>
  </w:style>
  <w:style w:type="paragraph" w:styleId="10">
    <w:name w:val="Date"/>
    <w:basedOn w:val="1"/>
    <w:next w:val="1"/>
    <w:link w:val="25"/>
    <w:qFormat/>
    <w:uiPriority w:val="99"/>
    <w:pPr>
      <w:ind w:left="100" w:leftChars="2500"/>
    </w:pPr>
    <w:rPr>
      <w:kern w:val="0"/>
      <w:sz w:val="24"/>
    </w:rPr>
  </w:style>
  <w:style w:type="paragraph" w:styleId="11">
    <w:name w:val="Balloon Text"/>
    <w:basedOn w:val="1"/>
    <w:link w:val="32"/>
    <w:unhideWhenUsed/>
    <w:qFormat/>
    <w:uiPriority w:val="99"/>
    <w:rPr>
      <w:sz w:val="18"/>
      <w:szCs w:val="18"/>
    </w:rPr>
  </w:style>
  <w:style w:type="paragraph" w:styleId="12">
    <w:name w:val="footer"/>
    <w:basedOn w:val="1"/>
    <w:link w:val="20"/>
    <w:unhideWhenUsed/>
    <w:qFormat/>
    <w:uiPriority w:val="99"/>
    <w:pPr>
      <w:tabs>
        <w:tab w:val="center" w:pos="4153"/>
        <w:tab w:val="right" w:pos="8306"/>
      </w:tabs>
      <w:jc w:val="left"/>
    </w:pPr>
    <w:rPr>
      <w:rFonts w:asciiTheme="minorHAnsi" w:hAnsiTheme="minorHAnsi" w:eastAsiaTheme="minorEastAsia" w:cstheme="minorBidi"/>
      <w:sz w:val="18"/>
      <w:szCs w:val="18"/>
    </w:rPr>
  </w:style>
  <w:style w:type="paragraph" w:styleId="13">
    <w:name w:val="header"/>
    <w:basedOn w:val="1"/>
    <w:link w:val="19"/>
    <w:unhideWhenUsed/>
    <w:qFormat/>
    <w:uiPriority w:val="99"/>
    <w:pPr>
      <w:pBdr>
        <w:bottom w:val="single" w:color="auto" w:sz="6" w:space="1"/>
      </w:pBdr>
      <w:tabs>
        <w:tab w:val="center" w:pos="4153"/>
        <w:tab w:val="right" w:pos="8306"/>
      </w:tabs>
      <w:jc w:val="center"/>
    </w:pPr>
    <w:rPr>
      <w:rFonts w:asciiTheme="minorHAnsi" w:hAnsiTheme="minorHAnsi" w:eastAsiaTheme="minorEastAsia" w:cstheme="minorBidi"/>
      <w:sz w:val="18"/>
      <w:szCs w:val="18"/>
    </w:rPr>
  </w:style>
  <w:style w:type="paragraph" w:styleId="14">
    <w:name w:val="toc 1"/>
    <w:basedOn w:val="1"/>
    <w:next w:val="1"/>
    <w:semiHidden/>
    <w:qFormat/>
    <w:uiPriority w:val="99"/>
    <w:rPr>
      <w:szCs w:val="20"/>
    </w:rPr>
  </w:style>
  <w:style w:type="character" w:styleId="16">
    <w:name w:val="page number"/>
    <w:qFormat/>
    <w:uiPriority w:val="99"/>
    <w:rPr>
      <w:rFonts w:cs="Times New Roman"/>
    </w:rPr>
  </w:style>
  <w:style w:type="character" w:styleId="17">
    <w:name w:val="annotation reference"/>
    <w:basedOn w:val="15"/>
    <w:unhideWhenUsed/>
    <w:qFormat/>
    <w:uiPriority w:val="99"/>
    <w:rPr>
      <w:sz w:val="21"/>
      <w:szCs w:val="21"/>
    </w:rPr>
  </w:style>
  <w:style w:type="character" w:customStyle="1" w:styleId="19">
    <w:name w:val="页眉 字符"/>
    <w:basedOn w:val="15"/>
    <w:link w:val="13"/>
    <w:uiPriority w:val="99"/>
    <w:rPr>
      <w:sz w:val="18"/>
      <w:szCs w:val="18"/>
    </w:rPr>
  </w:style>
  <w:style w:type="character" w:customStyle="1" w:styleId="20">
    <w:name w:val="页脚 字符"/>
    <w:basedOn w:val="15"/>
    <w:link w:val="12"/>
    <w:qFormat/>
    <w:uiPriority w:val="99"/>
    <w:rPr>
      <w:sz w:val="18"/>
      <w:szCs w:val="18"/>
    </w:rPr>
  </w:style>
  <w:style w:type="character" w:customStyle="1" w:styleId="21">
    <w:name w:val="标题 1 字符"/>
    <w:basedOn w:val="15"/>
    <w:link w:val="2"/>
    <w:qFormat/>
    <w:uiPriority w:val="99"/>
    <w:rPr>
      <w:rFonts w:ascii="宋体" w:hAnsi="Times New Roman" w:eastAsia="宋体" w:cs="Times New Roman"/>
      <w:b/>
      <w:bCs/>
      <w:kern w:val="36"/>
      <w:sz w:val="48"/>
      <w:szCs w:val="48"/>
    </w:rPr>
  </w:style>
  <w:style w:type="character" w:customStyle="1" w:styleId="22">
    <w:name w:val="标题 2 字符"/>
    <w:basedOn w:val="15"/>
    <w:link w:val="3"/>
    <w:qFormat/>
    <w:uiPriority w:val="99"/>
    <w:rPr>
      <w:rFonts w:ascii="Cambria" w:hAnsi="Cambria" w:eastAsia="宋体" w:cs="Times New Roman"/>
      <w:b/>
      <w:bCs/>
      <w:kern w:val="0"/>
      <w:sz w:val="32"/>
      <w:szCs w:val="32"/>
    </w:rPr>
  </w:style>
  <w:style w:type="character" w:customStyle="1" w:styleId="23">
    <w:name w:val="标题 4 字符"/>
    <w:basedOn w:val="15"/>
    <w:link w:val="5"/>
    <w:qFormat/>
    <w:uiPriority w:val="99"/>
    <w:rPr>
      <w:rFonts w:ascii="Cambria" w:hAnsi="Cambria" w:eastAsia="宋体" w:cs="Times New Roman"/>
      <w:b/>
      <w:bCs/>
      <w:kern w:val="0"/>
      <w:sz w:val="28"/>
      <w:szCs w:val="28"/>
    </w:rPr>
  </w:style>
  <w:style w:type="character" w:customStyle="1" w:styleId="24">
    <w:name w:val="正文文本缩进 字符"/>
    <w:basedOn w:val="15"/>
    <w:link w:val="9"/>
    <w:qFormat/>
    <w:uiPriority w:val="99"/>
    <w:rPr>
      <w:rFonts w:ascii="Times New Roman" w:hAnsi="Times New Roman" w:eastAsia="宋体" w:cs="Times New Roman"/>
      <w:sz w:val="44"/>
      <w:szCs w:val="20"/>
    </w:rPr>
  </w:style>
  <w:style w:type="character" w:customStyle="1" w:styleId="25">
    <w:name w:val="日期 字符"/>
    <w:basedOn w:val="15"/>
    <w:link w:val="10"/>
    <w:qFormat/>
    <w:uiPriority w:val="99"/>
    <w:rPr>
      <w:rFonts w:ascii="Times New Roman" w:hAnsi="Times New Roman" w:eastAsia="宋体" w:cs="Times New Roman"/>
      <w:kern w:val="0"/>
      <w:sz w:val="24"/>
      <w:szCs w:val="24"/>
    </w:rPr>
  </w:style>
  <w:style w:type="paragraph" w:customStyle="1" w:styleId="26">
    <w:name w:val="a1"/>
    <w:basedOn w:val="1"/>
    <w:qFormat/>
    <w:uiPriority w:val="0"/>
    <w:pPr>
      <w:widowControl/>
      <w:spacing w:after="150"/>
      <w:jc w:val="left"/>
    </w:pPr>
    <w:rPr>
      <w:rFonts w:ascii="宋体" w:hAnsi="宋体" w:cs="宋体"/>
      <w:kern w:val="0"/>
      <w:sz w:val="24"/>
    </w:rPr>
  </w:style>
  <w:style w:type="paragraph" w:customStyle="1" w:styleId="27">
    <w:name w:val="无间隔1"/>
    <w:link w:val="28"/>
    <w:qFormat/>
    <w:uiPriority w:val="1"/>
    <w:rPr>
      <w:rFonts w:asciiTheme="minorHAnsi" w:hAnsiTheme="minorHAnsi" w:eastAsiaTheme="minorEastAsia" w:cstheme="minorBidi"/>
      <w:sz w:val="22"/>
      <w:szCs w:val="22"/>
      <w:lang w:val="en-US" w:eastAsia="zh-CN" w:bidi="ar-SA"/>
    </w:rPr>
  </w:style>
  <w:style w:type="character" w:customStyle="1" w:styleId="28">
    <w:name w:val="无间隔 字符"/>
    <w:basedOn w:val="15"/>
    <w:link w:val="27"/>
    <w:qFormat/>
    <w:uiPriority w:val="1"/>
    <w:rPr>
      <w:kern w:val="0"/>
      <w:sz w:val="22"/>
    </w:rPr>
  </w:style>
  <w:style w:type="character" w:customStyle="1" w:styleId="29">
    <w:name w:val="标题 3 Char"/>
    <w:basedOn w:val="15"/>
    <w:semiHidden/>
    <w:uiPriority w:val="9"/>
    <w:rPr>
      <w:rFonts w:ascii="Times New Roman" w:hAnsi="Times New Roman" w:eastAsia="宋体" w:cs="Times New Roman"/>
      <w:b/>
      <w:bCs/>
      <w:sz w:val="32"/>
      <w:szCs w:val="32"/>
    </w:rPr>
  </w:style>
  <w:style w:type="character" w:customStyle="1" w:styleId="30">
    <w:name w:val="批注文字 字符"/>
    <w:basedOn w:val="15"/>
    <w:link w:val="7"/>
    <w:semiHidden/>
    <w:qFormat/>
    <w:uiPriority w:val="99"/>
    <w:rPr>
      <w:rFonts w:ascii="Times New Roman" w:hAnsi="Times New Roman" w:eastAsia="宋体" w:cs="Times New Roman"/>
      <w:szCs w:val="24"/>
    </w:rPr>
  </w:style>
  <w:style w:type="character" w:customStyle="1" w:styleId="31">
    <w:name w:val="批注主题 字符"/>
    <w:basedOn w:val="30"/>
    <w:link w:val="6"/>
    <w:semiHidden/>
    <w:qFormat/>
    <w:uiPriority w:val="99"/>
    <w:rPr>
      <w:rFonts w:ascii="Times New Roman" w:hAnsi="Times New Roman" w:eastAsia="宋体" w:cs="Times New Roman"/>
      <w:b/>
      <w:bCs/>
      <w:szCs w:val="24"/>
    </w:rPr>
  </w:style>
  <w:style w:type="character" w:customStyle="1" w:styleId="32">
    <w:name w:val="批注框文本 字符"/>
    <w:basedOn w:val="15"/>
    <w:link w:val="11"/>
    <w:semiHidden/>
    <w:qFormat/>
    <w:uiPriority w:val="99"/>
    <w:rPr>
      <w:rFonts w:ascii="Times New Roman" w:hAnsi="Times New Roman" w:eastAsia="宋体" w:cs="Times New Roman"/>
      <w:sz w:val="18"/>
      <w:szCs w:val="18"/>
    </w:rPr>
  </w:style>
  <w:style w:type="paragraph" w:customStyle="1" w:styleId="33">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34">
    <w:name w:val="！正文"/>
    <w:basedOn w:val="1"/>
    <w:qFormat/>
    <w:uiPriority w:val="0"/>
    <w:pPr>
      <w:spacing w:line="360" w:lineRule="auto"/>
      <w:ind w:firstLine="200" w:firstLineChars="200"/>
    </w:pPr>
    <w:rPr>
      <w:rFonts w:ascii="华文细黑" w:hAnsi="华文细黑" w:eastAsia="华文细黑"/>
      <w:sz w:val="24"/>
    </w:rPr>
  </w:style>
  <w:style w:type="paragraph" w:customStyle="1" w:styleId="35">
    <w:name w:val="正文new"/>
    <w:basedOn w:val="1"/>
    <w:qFormat/>
    <w:uiPriority w:val="0"/>
    <w:pPr>
      <w:spacing w:line="360" w:lineRule="auto"/>
      <w:ind w:firstLine="480" w:firstLineChars="200"/>
    </w:pPr>
    <w:rPr>
      <w:sz w:val="24"/>
      <w:szCs w:val="18"/>
    </w:rPr>
  </w:style>
  <w:style w:type="character" w:customStyle="1" w:styleId="36">
    <w:name w:val="标题 3 字符"/>
    <w:basedOn w:val="15"/>
    <w:link w:val="4"/>
    <w:qFormat/>
    <w:uiPriority w:val="9"/>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714</Words>
  <Characters>4075</Characters>
  <Lines>33</Lines>
  <Paragraphs>9</Paragraphs>
  <TotalTime>7</TotalTime>
  <ScaleCrop>false</ScaleCrop>
  <LinksUpToDate>false</LinksUpToDate>
  <CharactersWithSpaces>4780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2018-09-05T19:04:00Z</dcterms:created>
  <dc:creator>admin</dc:creator>
  <cp:lastModifiedBy>二师心理咨询中心</cp:lastModifiedBy>
  <dcterms:modified xsi:type="dcterms:W3CDTF">2018-10-10T01:12:06Z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