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398" w:rsidRPr="00EE6398" w:rsidRDefault="00EE6398" w:rsidP="00EE6398">
      <w:pPr>
        <w:pStyle w:val="a3"/>
        <w:shd w:val="clear" w:color="auto" w:fill="FFFFFF"/>
        <w:spacing w:line="540" w:lineRule="atLeast"/>
        <w:rPr>
          <w:rFonts w:ascii="方正小标宋简体" w:eastAsia="方正小标宋简体" w:hAnsi="微软雅黑" w:hint="eastAsia"/>
          <w:color w:val="454545"/>
          <w:sz w:val="44"/>
          <w:szCs w:val="44"/>
          <w:bdr w:val="none" w:sz="0" w:space="0" w:color="auto" w:frame="1"/>
        </w:rPr>
      </w:pPr>
      <w:r w:rsidRPr="00EE6398">
        <w:rPr>
          <w:rFonts w:ascii="方正小标宋简体" w:eastAsia="方正小标宋简体" w:hAnsi="微软雅黑" w:hint="eastAsia"/>
          <w:color w:val="454545"/>
          <w:sz w:val="44"/>
          <w:szCs w:val="44"/>
          <w:bdr w:val="none" w:sz="0" w:space="0" w:color="auto" w:frame="1"/>
        </w:rPr>
        <w:t>重庆市教育科学“十三五”规划2020年度</w:t>
      </w:r>
    </w:p>
    <w:p w:rsidR="00A62130" w:rsidRDefault="00EE6398" w:rsidP="00EE6398">
      <w:pPr>
        <w:pStyle w:val="a3"/>
        <w:shd w:val="clear" w:color="auto" w:fill="FFFFFF"/>
        <w:spacing w:line="540" w:lineRule="atLeast"/>
        <w:rPr>
          <w:rFonts w:ascii="方正小标宋简体" w:eastAsia="方正小标宋简体" w:hAnsi="微软雅黑"/>
          <w:color w:val="454545"/>
          <w:sz w:val="44"/>
          <w:szCs w:val="44"/>
          <w:bdr w:val="none" w:sz="0" w:space="0" w:color="auto" w:frame="1"/>
        </w:rPr>
      </w:pPr>
      <w:r w:rsidRPr="00EE6398">
        <w:rPr>
          <w:rFonts w:ascii="方正小标宋简体" w:eastAsia="方正小标宋简体" w:hAnsi="微软雅黑" w:hint="eastAsia"/>
          <w:color w:val="454545"/>
          <w:sz w:val="44"/>
          <w:szCs w:val="44"/>
          <w:bdr w:val="none" w:sz="0" w:space="0" w:color="auto" w:frame="1"/>
        </w:rPr>
        <w:t>“教育督导评估监测”专项课题选题指南</w:t>
      </w:r>
    </w:p>
    <w:p w:rsidR="00EE6398" w:rsidRDefault="00EE6398" w:rsidP="00EE6398">
      <w:pPr>
        <w:widowControl/>
        <w:shd w:val="clear" w:color="auto" w:fill="FFFFFF"/>
        <w:spacing w:before="100" w:beforeAutospacing="1" w:after="100" w:afterAutospacing="1" w:line="600" w:lineRule="atLeast"/>
        <w:jc w:val="left"/>
        <w:rPr>
          <w:rFonts w:ascii="方正仿宋_GBK" w:eastAsia="方正仿宋_GBK" w:hAnsi="宋体" w:cs="宋体" w:hint="eastAsia"/>
          <w:b/>
          <w:bCs/>
          <w:color w:val="212121"/>
          <w:kern w:val="0"/>
          <w:sz w:val="32"/>
          <w:szCs w:val="32"/>
        </w:rPr>
      </w:pPr>
    </w:p>
    <w:p w:rsidR="00EE6398" w:rsidRPr="00DA5CF0" w:rsidRDefault="00EE6398" w:rsidP="00EE6398">
      <w:pPr>
        <w:widowControl/>
        <w:shd w:val="clear" w:color="auto" w:fill="FFFFFF"/>
        <w:spacing w:before="100" w:beforeAutospacing="1" w:after="100" w:afterAutospacing="1" w:line="600" w:lineRule="atLeast"/>
        <w:jc w:val="left"/>
        <w:rPr>
          <w:rFonts w:ascii="宋体" w:eastAsia="宋体" w:hAnsi="宋体" w:cs="宋体"/>
          <w:color w:val="212121"/>
          <w:kern w:val="0"/>
          <w:sz w:val="24"/>
          <w:szCs w:val="24"/>
        </w:rPr>
      </w:pPr>
      <w:bookmarkStart w:id="0" w:name="_GoBack"/>
      <w:bookmarkEnd w:id="0"/>
      <w:r w:rsidRPr="00DA5CF0">
        <w:rPr>
          <w:rFonts w:ascii="方正仿宋_GBK" w:eastAsia="方正仿宋_GBK" w:hAnsi="宋体" w:cs="宋体" w:hint="eastAsia"/>
          <w:b/>
          <w:bCs/>
          <w:color w:val="212121"/>
          <w:kern w:val="0"/>
          <w:sz w:val="32"/>
          <w:szCs w:val="32"/>
        </w:rPr>
        <w:t>选题说明：</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1.专项课题面向教育督导评估监测研究专业人员、督导人员、学校管理人员与教师，针对现实问题，研究先进经验，突出调查研究，鼓励开展教育督导评估监测实验。</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2.指南中设重点课题和一般课题，涉及学前教育、义务教育、高中阶段教育、高等教育以及综合教育研究。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3.课题申报者可在课题指南范围内选题，进行深化研究，也可自行选题。申报选题要从工作实际出发，着眼于为教育督导评估监测发展服务，提高教育督导评估监测能力与水平。</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4.研究者应关注目前教育评估与监测领域存在的难点与热点问题，关注前沿问题，重视基础研究，加强应用研究，强调实证数据。鼓励研究者和教育行政部门管理者以及教育实践者合作开展研究，鼓励跨学科、跨部门合作，运用新方法，形成新认识，创造新成果。</w:t>
      </w:r>
    </w:p>
    <w:p w:rsidR="00EE6398" w:rsidRPr="00DA5CF0" w:rsidRDefault="00EE6398" w:rsidP="00EE6398">
      <w:pPr>
        <w:widowControl/>
        <w:shd w:val="clear" w:color="auto" w:fill="FFFFFF"/>
        <w:spacing w:before="100" w:beforeAutospacing="1" w:after="100" w:afterAutospacing="1" w:line="600" w:lineRule="atLeast"/>
        <w:ind w:firstLine="643"/>
        <w:jc w:val="left"/>
        <w:rPr>
          <w:rFonts w:ascii="宋体" w:eastAsia="宋体" w:hAnsi="宋体" w:cs="宋体"/>
          <w:color w:val="212121"/>
          <w:kern w:val="0"/>
          <w:sz w:val="24"/>
          <w:szCs w:val="24"/>
        </w:rPr>
      </w:pPr>
      <w:r w:rsidRPr="00DA5CF0">
        <w:rPr>
          <w:rFonts w:ascii="黑体" w:eastAsia="黑体" w:hAnsi="黑体" w:cs="宋体" w:hint="eastAsia"/>
          <w:b/>
          <w:bCs/>
          <w:color w:val="212121"/>
          <w:kern w:val="0"/>
          <w:sz w:val="32"/>
          <w:szCs w:val="32"/>
        </w:rPr>
        <w:lastRenderedPageBreak/>
        <w:t>一、重点课题</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1.重庆市深化新时代教育督导问责机制研究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2.重庆市义务教育学校落实立德树人根本任务督导评估指标体系构建实践研究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3.深化新时代教育评价改革研究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4.中小学全息智能评价体系研究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5.职业学校“三教”改革实施绩效评价研究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6.普通高等学校师范类专业认证质量保障体系建设研究</w:t>
      </w:r>
    </w:p>
    <w:p w:rsidR="00EE6398" w:rsidRPr="00DA5CF0" w:rsidRDefault="00EE6398" w:rsidP="00EE6398">
      <w:pPr>
        <w:widowControl/>
        <w:shd w:val="clear" w:color="auto" w:fill="FFFFFF"/>
        <w:spacing w:before="100" w:beforeAutospacing="1" w:after="100" w:afterAutospacing="1" w:line="600" w:lineRule="atLeast"/>
        <w:ind w:firstLine="643"/>
        <w:jc w:val="left"/>
        <w:rPr>
          <w:rFonts w:ascii="宋体" w:eastAsia="宋体" w:hAnsi="宋体" w:cs="宋体"/>
          <w:color w:val="212121"/>
          <w:kern w:val="0"/>
          <w:sz w:val="24"/>
          <w:szCs w:val="24"/>
        </w:rPr>
      </w:pPr>
      <w:r w:rsidRPr="00DA5CF0">
        <w:rPr>
          <w:rFonts w:ascii="黑体" w:eastAsia="黑体" w:hAnsi="黑体" w:cs="宋体" w:hint="eastAsia"/>
          <w:b/>
          <w:bCs/>
          <w:color w:val="212121"/>
          <w:kern w:val="0"/>
          <w:sz w:val="32"/>
          <w:szCs w:val="32"/>
        </w:rPr>
        <w:t>二、一般课题</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1.重庆市中小学（幼儿园、中职学校）安全教育督导评估指标体系研究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2.重庆市教育督导体制与机制深化研究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3.区县政府履行教育职责评价结果应用研究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4.新时代教育政策评价研究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5.教育发展规划评价研究</w:t>
      </w:r>
    </w:p>
    <w:p w:rsidR="00EE6398" w:rsidRPr="00DA5CF0" w:rsidRDefault="00EE6398" w:rsidP="00EE6398">
      <w:pPr>
        <w:widowControl/>
        <w:shd w:val="clear" w:color="auto" w:fill="FFFFFF"/>
        <w:spacing w:before="100" w:beforeAutospacing="1" w:after="100" w:afterAutospacing="1" w:line="600" w:lineRule="atLeast"/>
        <w:ind w:firstLine="614"/>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lastRenderedPageBreak/>
        <w:t>6.重庆市中小学（幼儿园、中职学校）学校督导运行机制研究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7. 重庆市中小学（幼儿园、中职学校）劳动教育评价指标体系研究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8.重庆市中小学生心理健康教育评估研究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9.学校思政课建设督导评估研究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10.区域教育（学校教育、学生发展）质量标准与评价研究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11.德育（劳动、体育、艺术教育）课程与教学评价研究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12.义务教育（普通高中）学生综合素质评价与应用研究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13.普通高中国际课程班教育质量评估研究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14.学校治理体系与治理能力评价研究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15.新时代家校共育标准与评价研究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16.基于数字化运用的学校教育监测与评价研究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17.学前教育质量监测与评价研究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lastRenderedPageBreak/>
        <w:t>18.中等职业学校办学能力与教育质量评价研究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19.职业教育1+X证书实施绩效评价研究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20.产教融合型企业（产业学院）认证评价研究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21.高校教学质量评估研究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22.高等职业院校适应社会需求能力研究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23.职业院校培训质量评价研究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24.教师教育职前职后一体化建设体制机制研究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25.基于OBE认证理念的师范生实践教学体系评价研究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26.教师培训项目（在线教师教育）绩效评估研究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27.高水平高职学校建设质量保障体系研究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28.中小学德育工作（中小学生德育发展现状、学科德育）监测评价工具及指标体系研究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29.中小学生学习策略（厌学情绪、学业负担、成绩两级分化）现状及影响因素研究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30.中小学生身心健康（心理健康教育）及影响因素监测工具及指标体系研究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lastRenderedPageBreak/>
        <w:t>31.中小学生艺术素养（美育发展、美育课程开发）现状及影响因素研究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32.中小学生劳育发展（劳动教育课程开发）的现状及影响因素研究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33.学校管理对学生学业质量（教师专业发展）影响研究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34.中小学班主任工作质量及其影响因素研究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35.家庭教育观（家庭氛围、家庭教育）现状及影响因素研究</w:t>
      </w:r>
    </w:p>
    <w:p w:rsidR="00EE6398" w:rsidRPr="00DA5CF0" w:rsidRDefault="00EE6398" w:rsidP="00EE6398">
      <w:pPr>
        <w:widowControl/>
        <w:shd w:val="clear" w:color="auto" w:fill="FFFFFF"/>
        <w:spacing w:before="100" w:beforeAutospacing="1" w:after="100" w:afterAutospacing="1" w:line="600" w:lineRule="atLeast"/>
        <w:ind w:firstLine="640"/>
        <w:jc w:val="left"/>
        <w:rPr>
          <w:rFonts w:ascii="宋体" w:eastAsia="宋体" w:hAnsi="宋体" w:cs="宋体"/>
          <w:color w:val="212121"/>
          <w:kern w:val="0"/>
          <w:sz w:val="24"/>
          <w:szCs w:val="24"/>
        </w:rPr>
      </w:pPr>
      <w:r w:rsidRPr="00DA5CF0">
        <w:rPr>
          <w:rFonts w:ascii="仿宋" w:eastAsia="仿宋" w:hAnsi="仿宋" w:cs="宋体" w:hint="eastAsia"/>
          <w:color w:val="212121"/>
          <w:kern w:val="0"/>
          <w:sz w:val="32"/>
          <w:szCs w:val="32"/>
        </w:rPr>
        <w:t>36.现代信息技术与教学深度融合现状及影响因素研究</w:t>
      </w:r>
    </w:p>
    <w:p w:rsidR="00EE6398" w:rsidRPr="00EE6398" w:rsidRDefault="00EE6398" w:rsidP="00EE6398">
      <w:pPr>
        <w:pStyle w:val="a3"/>
        <w:shd w:val="clear" w:color="auto" w:fill="FFFFFF"/>
        <w:spacing w:before="0" w:beforeAutospacing="0" w:after="0" w:afterAutospacing="0" w:line="540" w:lineRule="atLeast"/>
        <w:ind w:firstLineChars="200" w:firstLine="480"/>
        <w:rPr>
          <w:rFonts w:ascii="微软雅黑" w:eastAsia="微软雅黑" w:hAnsi="微软雅黑"/>
          <w:color w:val="454545"/>
        </w:rPr>
      </w:pPr>
    </w:p>
    <w:sectPr w:rsidR="00EE6398" w:rsidRPr="00EE63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D1" w:rsidRDefault="007C7BD1" w:rsidP="00EE6398">
      <w:r>
        <w:separator/>
      </w:r>
    </w:p>
  </w:endnote>
  <w:endnote w:type="continuationSeparator" w:id="0">
    <w:p w:rsidR="007C7BD1" w:rsidRDefault="007C7BD1" w:rsidP="00EE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D1" w:rsidRDefault="007C7BD1" w:rsidP="00EE6398">
      <w:r>
        <w:separator/>
      </w:r>
    </w:p>
  </w:footnote>
  <w:footnote w:type="continuationSeparator" w:id="0">
    <w:p w:rsidR="007C7BD1" w:rsidRDefault="007C7BD1" w:rsidP="00EE6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72"/>
    <w:rsid w:val="00023015"/>
    <w:rsid w:val="00082A71"/>
    <w:rsid w:val="000953DC"/>
    <w:rsid w:val="000A06C9"/>
    <w:rsid w:val="000B1900"/>
    <w:rsid w:val="000E6531"/>
    <w:rsid w:val="000F1D74"/>
    <w:rsid w:val="000F2DC9"/>
    <w:rsid w:val="00107F2D"/>
    <w:rsid w:val="00117BE5"/>
    <w:rsid w:val="00134168"/>
    <w:rsid w:val="00134D5D"/>
    <w:rsid w:val="001556D9"/>
    <w:rsid w:val="00176A8A"/>
    <w:rsid w:val="001C30FB"/>
    <w:rsid w:val="001D2584"/>
    <w:rsid w:val="001E27B4"/>
    <w:rsid w:val="001F7D97"/>
    <w:rsid w:val="00213816"/>
    <w:rsid w:val="002339C2"/>
    <w:rsid w:val="00235DE5"/>
    <w:rsid w:val="00243E62"/>
    <w:rsid w:val="00251C79"/>
    <w:rsid w:val="00264950"/>
    <w:rsid w:val="00266EC2"/>
    <w:rsid w:val="0029086F"/>
    <w:rsid w:val="00290EC2"/>
    <w:rsid w:val="002D69D8"/>
    <w:rsid w:val="002E6BE0"/>
    <w:rsid w:val="00300A16"/>
    <w:rsid w:val="00321ACA"/>
    <w:rsid w:val="00353964"/>
    <w:rsid w:val="003572DF"/>
    <w:rsid w:val="00386532"/>
    <w:rsid w:val="003B32B4"/>
    <w:rsid w:val="003C746B"/>
    <w:rsid w:val="003D0CB2"/>
    <w:rsid w:val="003E2ECD"/>
    <w:rsid w:val="003E4276"/>
    <w:rsid w:val="00405E10"/>
    <w:rsid w:val="004158C3"/>
    <w:rsid w:val="0041690E"/>
    <w:rsid w:val="004172BA"/>
    <w:rsid w:val="00420EF3"/>
    <w:rsid w:val="004348EF"/>
    <w:rsid w:val="004361F3"/>
    <w:rsid w:val="00462F5E"/>
    <w:rsid w:val="00475002"/>
    <w:rsid w:val="004A42E6"/>
    <w:rsid w:val="004E6BF9"/>
    <w:rsid w:val="004F5502"/>
    <w:rsid w:val="005218B2"/>
    <w:rsid w:val="005306A1"/>
    <w:rsid w:val="00566CF5"/>
    <w:rsid w:val="005831C2"/>
    <w:rsid w:val="005B5213"/>
    <w:rsid w:val="005D266C"/>
    <w:rsid w:val="005E14C2"/>
    <w:rsid w:val="005F113F"/>
    <w:rsid w:val="0061076E"/>
    <w:rsid w:val="006236ED"/>
    <w:rsid w:val="00635BD0"/>
    <w:rsid w:val="00650FA3"/>
    <w:rsid w:val="00655CA9"/>
    <w:rsid w:val="0065788B"/>
    <w:rsid w:val="006B3CF4"/>
    <w:rsid w:val="00721483"/>
    <w:rsid w:val="007316BD"/>
    <w:rsid w:val="00735431"/>
    <w:rsid w:val="00763D48"/>
    <w:rsid w:val="0077311D"/>
    <w:rsid w:val="00784272"/>
    <w:rsid w:val="007A5AB9"/>
    <w:rsid w:val="007C7BD1"/>
    <w:rsid w:val="007E105E"/>
    <w:rsid w:val="00814630"/>
    <w:rsid w:val="00823490"/>
    <w:rsid w:val="008306C8"/>
    <w:rsid w:val="00840132"/>
    <w:rsid w:val="008465C1"/>
    <w:rsid w:val="00854D94"/>
    <w:rsid w:val="00857064"/>
    <w:rsid w:val="00871334"/>
    <w:rsid w:val="008844C3"/>
    <w:rsid w:val="00885936"/>
    <w:rsid w:val="008A485E"/>
    <w:rsid w:val="008B17A8"/>
    <w:rsid w:val="008D5229"/>
    <w:rsid w:val="009057D0"/>
    <w:rsid w:val="00943AEF"/>
    <w:rsid w:val="00955F51"/>
    <w:rsid w:val="00963C37"/>
    <w:rsid w:val="009E281A"/>
    <w:rsid w:val="00A110AF"/>
    <w:rsid w:val="00A376B4"/>
    <w:rsid w:val="00A62130"/>
    <w:rsid w:val="00A91E70"/>
    <w:rsid w:val="00AB6DC7"/>
    <w:rsid w:val="00B34A11"/>
    <w:rsid w:val="00B369A8"/>
    <w:rsid w:val="00B57FB5"/>
    <w:rsid w:val="00B84067"/>
    <w:rsid w:val="00B92181"/>
    <w:rsid w:val="00BA0B1F"/>
    <w:rsid w:val="00BA1744"/>
    <w:rsid w:val="00BA496B"/>
    <w:rsid w:val="00BA6096"/>
    <w:rsid w:val="00BE15D2"/>
    <w:rsid w:val="00BE48BA"/>
    <w:rsid w:val="00BE6716"/>
    <w:rsid w:val="00BF6B0A"/>
    <w:rsid w:val="00C0130A"/>
    <w:rsid w:val="00C04E80"/>
    <w:rsid w:val="00C42AFB"/>
    <w:rsid w:val="00C565D5"/>
    <w:rsid w:val="00C75DA5"/>
    <w:rsid w:val="00C7714C"/>
    <w:rsid w:val="00C86F89"/>
    <w:rsid w:val="00C87F27"/>
    <w:rsid w:val="00CA3B0C"/>
    <w:rsid w:val="00CB7DA7"/>
    <w:rsid w:val="00CB7E18"/>
    <w:rsid w:val="00CC683C"/>
    <w:rsid w:val="00D04816"/>
    <w:rsid w:val="00D2293A"/>
    <w:rsid w:val="00D54834"/>
    <w:rsid w:val="00D70529"/>
    <w:rsid w:val="00D76FCC"/>
    <w:rsid w:val="00D859FD"/>
    <w:rsid w:val="00DA5FAB"/>
    <w:rsid w:val="00DB0E6B"/>
    <w:rsid w:val="00DB3AAB"/>
    <w:rsid w:val="00DE1FD1"/>
    <w:rsid w:val="00DF54C3"/>
    <w:rsid w:val="00E42A6F"/>
    <w:rsid w:val="00E60474"/>
    <w:rsid w:val="00E608F7"/>
    <w:rsid w:val="00E65808"/>
    <w:rsid w:val="00E670FA"/>
    <w:rsid w:val="00E943C4"/>
    <w:rsid w:val="00EB0006"/>
    <w:rsid w:val="00EB053C"/>
    <w:rsid w:val="00EC00D1"/>
    <w:rsid w:val="00EC20C1"/>
    <w:rsid w:val="00EE6398"/>
    <w:rsid w:val="00F07BEB"/>
    <w:rsid w:val="00F1032A"/>
    <w:rsid w:val="00F1534C"/>
    <w:rsid w:val="00F42922"/>
    <w:rsid w:val="00F60B90"/>
    <w:rsid w:val="00F756F1"/>
    <w:rsid w:val="00F84012"/>
    <w:rsid w:val="00F97456"/>
    <w:rsid w:val="00FB0A07"/>
    <w:rsid w:val="00FB2CC3"/>
    <w:rsid w:val="00FB7FB5"/>
    <w:rsid w:val="00FE3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213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E63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E6398"/>
    <w:rPr>
      <w:sz w:val="18"/>
      <w:szCs w:val="18"/>
    </w:rPr>
  </w:style>
  <w:style w:type="paragraph" w:styleId="a5">
    <w:name w:val="footer"/>
    <w:basedOn w:val="a"/>
    <w:link w:val="Char0"/>
    <w:uiPriority w:val="99"/>
    <w:unhideWhenUsed/>
    <w:rsid w:val="00EE6398"/>
    <w:pPr>
      <w:tabs>
        <w:tab w:val="center" w:pos="4153"/>
        <w:tab w:val="right" w:pos="8306"/>
      </w:tabs>
      <w:snapToGrid w:val="0"/>
      <w:jc w:val="left"/>
    </w:pPr>
    <w:rPr>
      <w:sz w:val="18"/>
      <w:szCs w:val="18"/>
    </w:rPr>
  </w:style>
  <w:style w:type="character" w:customStyle="1" w:styleId="Char0">
    <w:name w:val="页脚 Char"/>
    <w:basedOn w:val="a0"/>
    <w:link w:val="a5"/>
    <w:uiPriority w:val="99"/>
    <w:rsid w:val="00EE63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213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E63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E6398"/>
    <w:rPr>
      <w:sz w:val="18"/>
      <w:szCs w:val="18"/>
    </w:rPr>
  </w:style>
  <w:style w:type="paragraph" w:styleId="a5">
    <w:name w:val="footer"/>
    <w:basedOn w:val="a"/>
    <w:link w:val="Char0"/>
    <w:uiPriority w:val="99"/>
    <w:unhideWhenUsed/>
    <w:rsid w:val="00EE6398"/>
    <w:pPr>
      <w:tabs>
        <w:tab w:val="center" w:pos="4153"/>
        <w:tab w:val="right" w:pos="8306"/>
      </w:tabs>
      <w:snapToGrid w:val="0"/>
      <w:jc w:val="left"/>
    </w:pPr>
    <w:rPr>
      <w:sz w:val="18"/>
      <w:szCs w:val="18"/>
    </w:rPr>
  </w:style>
  <w:style w:type="character" w:customStyle="1" w:styleId="Char0">
    <w:name w:val="页脚 Char"/>
    <w:basedOn w:val="a0"/>
    <w:link w:val="a5"/>
    <w:uiPriority w:val="99"/>
    <w:rsid w:val="00EE63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瞿思佳</dc:creator>
  <cp:keywords/>
  <dc:description/>
  <cp:lastModifiedBy>瞿思佳</cp:lastModifiedBy>
  <cp:revision>4</cp:revision>
  <dcterms:created xsi:type="dcterms:W3CDTF">2020-11-13T02:18:00Z</dcterms:created>
  <dcterms:modified xsi:type="dcterms:W3CDTF">2020-11-23T03:08:00Z</dcterms:modified>
</cp:coreProperties>
</file>